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X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序号X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X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序号X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十八</w:t>
      </w:r>
      <w:r>
        <w:rPr>
          <w:rFonts w:hint="eastAsia"/>
          <w:b/>
          <w:sz w:val="52"/>
          <w:szCs w:val="52"/>
        </w:rPr>
        <w:t>批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  <w:bookmarkStart w:id="0" w:name="_GoBack"/>
      <w:bookmarkEnd w:id="0"/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维修强生过氧化氢低温等离子灭菌器项目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3141"/>
        <w:gridCol w:w="1444"/>
        <w:gridCol w:w="788"/>
        <w:gridCol w:w="1181"/>
        <w:gridCol w:w="1379"/>
        <w:gridCol w:w="14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报价金额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维修强生过氧化氢低温等离子灭菌器项目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强生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ASP Sterrad NX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30000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一、维修需求：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1.更换电源模块。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 xml:space="preserve">二、售后需求：                                                                   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1.维修更换备件时，要随工单附上相应合格证、出库单等相关资料，确保配件为全新合法。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2.设备维修完成，由院方设备科监管部门进行验收，并记录设备外修验收报告。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3.设备维修（故障部位）验收后保修周期为3个月，不同部位故障除外。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4.同设备同故障部位在保修期内出现故障，需免费提供维修、配件更换和维修劳务服务。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5.同设备同故障部位在保修期内出现故障≥2次，院方有权另请第三方进行维修处理，涉及费用由维修方支出。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6.同设备同故障部位在保修期内出现故障，报修后要及时响应，确认故障情况后，12小时内到达现场进行维修。（到达现场需向院方设备监管部门报备，确认响应及现场时间）；若在3个工作日内未能完成维修，需提供备用设备，保证临床科室设备使用需求正常工作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7.维修及保修期内维修后，需向医院提交设备维保维修服务工单，由设备监管部门签字确认完成。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自合同签订之日起10日内完成维修。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设备维修验收合格后六个月内支付维修金额。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设备维修完成后，需维修工程师、医院设备科工程师、设备使用科室负责人三方进行验收交接，维修后的设备需达到：①能正常开关机；②各项参数功能能正常使用；验收后质保陆个月。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91B16A2"/>
    <w:rsid w:val="0950163F"/>
    <w:rsid w:val="0B287336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6624D2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BB1CEA"/>
    <w:rsid w:val="1EE82E1D"/>
    <w:rsid w:val="204F388A"/>
    <w:rsid w:val="2063628B"/>
    <w:rsid w:val="217934DB"/>
    <w:rsid w:val="21880F51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5C29F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4C65D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0A1DF9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474029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2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2026-09-29T01:12:15Z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