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lang w:val="en-US" w:eastAsia="zh-CN"/>
        </w:rPr>
        <w:t>一．</w:t>
      </w:r>
      <w:r>
        <w:rPr>
          <w:rFonts w:hint="eastAsia"/>
        </w:rPr>
        <w:t>温馨提示</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一．投标人需按投标资料模版内容编辑投标文件，不得更改模板格式及内容。</w:t>
      </w:r>
    </w:p>
    <w:p>
      <w:pPr>
        <w:numPr>
          <w:ilvl w:val="0"/>
          <w:numId w:val="0"/>
        </w:numPr>
        <w:ind w:left="840" w:leftChars="0" w:hanging="840" w:hangingChars="3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二．投标人需留意投标截止时间，超过投标时间投交的投标文件作无</w:t>
      </w:r>
    </w:p>
    <w:p>
      <w:pPr>
        <w:numPr>
          <w:ilvl w:val="0"/>
          <w:numId w:val="0"/>
        </w:numPr>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效处理（以现场收到或邮寄收到时间为准）。</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三．投标资料按投标资料模板编制页码，每页盖章并装订成册。</w:t>
      </w:r>
    </w:p>
    <w:p>
      <w:pPr>
        <w:pStyle w:val="2"/>
        <w:rPr>
          <w:rFonts w:hint="default"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四．投标资料需放入文件袋密封，外贴密封条并盖章。</w:t>
      </w:r>
    </w:p>
    <w:p>
      <w:pPr>
        <w:pStyle w:val="2"/>
        <w:rPr>
          <w:rFonts w:hint="eastAsia" w:asciiTheme="minorHAnsi" w:hAnsiTheme="minorHAnsi" w:eastAsiaTheme="minorEastAsia" w:cstheme="minorBidi"/>
          <w:b w:val="0"/>
          <w:bCs w:val="0"/>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五．招标文件中标有“★”的地方均被视为实质性响应条款，必须一一响应。若有一项带“★”的指标要求未响应或不</w:t>
      </w:r>
      <w:r>
        <w:rPr>
          <w:rFonts w:hint="eastAsia" w:asciiTheme="minorHAnsi" w:hAnsiTheme="minorHAnsi" w:eastAsiaTheme="minorEastAsia" w:cstheme="minorBidi"/>
          <w:b w:val="0"/>
          <w:bCs w:val="0"/>
          <w:kern w:val="2"/>
          <w:sz w:val="28"/>
          <w:szCs w:val="28"/>
          <w:lang w:val="en-US" w:eastAsia="zh-CN" w:bidi="ar-SA"/>
        </w:rPr>
        <w:t>满足，将按投标无效处。</w:t>
      </w:r>
    </w:p>
    <w:p>
      <w:pPr>
        <w:pStyle w:val="2"/>
        <w:rPr>
          <w:rFonts w:hint="default" w:asciiTheme="minorHAnsi" w:hAnsiTheme="minorHAnsi" w:eastAsiaTheme="minorEastAsia" w:cstheme="minorBidi"/>
          <w:b w:val="0"/>
          <w:bCs w:val="0"/>
          <w:kern w:val="2"/>
          <w:sz w:val="28"/>
          <w:szCs w:val="28"/>
          <w:lang w:val="en-US" w:eastAsia="zh-CN" w:bidi="ar-SA"/>
        </w:rPr>
        <w:sectPr>
          <w:pgSz w:w="11906" w:h="16838"/>
          <w:pgMar w:top="1440" w:right="1701" w:bottom="1440" w:left="1701" w:header="851" w:footer="992" w:gutter="0"/>
          <w:cols w:space="720" w:num="1"/>
          <w:docGrid w:type="lines" w:linePitch="312" w:charSpace="0"/>
        </w:sectPr>
      </w:pPr>
      <w:r>
        <w:rPr>
          <w:rFonts w:hint="eastAsia" w:asciiTheme="minorHAnsi" w:hAnsiTheme="minorHAnsi" w:eastAsiaTheme="minorEastAsia" w:cstheme="minorBidi"/>
          <w:b w:val="0"/>
          <w:bCs w:val="0"/>
          <w:kern w:val="2"/>
          <w:sz w:val="28"/>
          <w:szCs w:val="28"/>
          <w:lang w:val="en-US" w:eastAsia="zh-CN" w:bidi="ar-SA"/>
        </w:rPr>
        <w:t>六．</w:t>
      </w:r>
      <w:r>
        <w:rPr>
          <w:rFonts w:hint="eastAsia" w:asciiTheme="minorHAnsi" w:hAnsiTheme="minorHAnsi" w:eastAsiaTheme="minorEastAsia" w:cstheme="minorBidi"/>
          <w:kern w:val="2"/>
          <w:sz w:val="28"/>
          <w:szCs w:val="28"/>
          <w:lang w:val="en-US" w:eastAsia="zh-CN" w:bidi="ar-SA"/>
        </w:rPr>
        <w:t>★所投资料需一式两份。</w:t>
      </w:r>
    </w:p>
    <w:p>
      <w:pPr>
        <w:jc w:val="center"/>
      </w:pPr>
      <w:r>
        <w:rPr>
          <w:rFonts w:hint="eastAsia"/>
          <w:b/>
          <w:sz w:val="36"/>
          <w:szCs w:val="36"/>
          <w:lang w:val="en-US" w:eastAsia="zh-CN"/>
        </w:rPr>
        <w:t>二．密封条</w:t>
      </w:r>
      <w:r>
        <w:rPr>
          <w:rFonts w:hint="eastAsia"/>
          <w:b/>
          <w:sz w:val="36"/>
          <w:szCs w:val="36"/>
        </w:rPr>
        <w:t>模版</w:t>
      </w:r>
      <w:r>
        <mc:AlternateContent>
          <mc:Choice Requires="wps">
            <w:drawing>
              <wp:anchor distT="0" distB="0" distL="114300" distR="114300" simplePos="0" relativeHeight="251661312" behindDoc="0" locked="0" layoutInCell="1" allowOverlap="1">
                <wp:simplePos x="0" y="0"/>
                <wp:positionH relativeFrom="column">
                  <wp:posOffset>550545</wp:posOffset>
                </wp:positionH>
                <wp:positionV relativeFrom="paragraph">
                  <wp:posOffset>1017270</wp:posOffset>
                </wp:positionV>
                <wp:extent cx="4206240" cy="6873875"/>
                <wp:effectExtent l="14605" t="13970" r="27305" b="27305"/>
                <wp:wrapNone/>
                <wp:docPr id="3" name="文本框 2"/>
                <wp:cNvGraphicFramePr/>
                <a:graphic xmlns:a="http://schemas.openxmlformats.org/drawingml/2006/main">
                  <a:graphicData uri="http://schemas.microsoft.com/office/word/2010/wordprocessingShape">
                    <wps:wsp>
                      <wps:cNvSpPr txBox="1"/>
                      <wps:spPr>
                        <a:xfrm>
                          <a:off x="1979295" y="1852295"/>
                          <a:ext cx="4206240" cy="6873875"/>
                        </a:xfrm>
                        <a:prstGeom prst="rect">
                          <a:avLst/>
                        </a:prstGeom>
                        <a:solidFill>
                          <a:srgbClr val="FFFFFF"/>
                        </a:solidFill>
                        <a:ln w="28575" cmpd="sng">
                          <a:solidFill>
                            <a:srgbClr val="000000"/>
                          </a:solidFill>
                          <a:prstDash val="dashDot"/>
                        </a:ln>
                        <a:effectLst/>
                      </wps:spPr>
                      <wps:txb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43.35pt;margin-top:80.1pt;height:541.25pt;width:331.2pt;z-index:251661312;mso-width-relative:page;mso-height-relative:page;" fillcolor="#FFFFFF" filled="t" stroked="t" coordsize="21600,21600" o:gfxdata="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h1QyDcAAAACwEAAA8AAAAAAAAAAQAg&#10;AAAAIgAAAGRycy9kb3ducmV2LnhtbFBLAQIUABQAAAAIAIdO4kCWaAJjfAIAAPoEAAAOAAAAAAAA&#10;AAEAIAAAACsBAABkcnMvZTJvRG9jLnhtbFBLBQYAAAAABgAGAFkBAAAZBgAAAAA=&#10;">
                <v:fill on="t" focussize="0,0"/>
                <v:stroke weight="2.25pt" color="#000000" joinstyle="round" dashstyle="dashDot"/>
                <v:imagedata o:title=""/>
                <o:lock v:ext="edit" aspectratio="f"/>
                <v:textbo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116840</wp:posOffset>
                </wp:positionH>
                <wp:positionV relativeFrom="paragraph">
                  <wp:posOffset>580390</wp:posOffset>
                </wp:positionV>
                <wp:extent cx="5041265" cy="7732395"/>
                <wp:effectExtent l="6350" t="6350" r="19685" b="14605"/>
                <wp:wrapNone/>
                <wp:docPr id="2" name="文本框 1"/>
                <wp:cNvGraphicFramePr/>
                <a:graphic xmlns:a="http://schemas.openxmlformats.org/drawingml/2006/main">
                  <a:graphicData uri="http://schemas.microsoft.com/office/word/2010/wordprocessingShape">
                    <wps:wsp>
                      <wps:cNvSpPr txBox="1"/>
                      <wps:spPr>
                        <a:xfrm>
                          <a:off x="1101090" y="923290"/>
                          <a:ext cx="5041265" cy="7732395"/>
                        </a:xfrm>
                        <a:prstGeom prst="rect">
                          <a:avLst/>
                        </a:prstGeom>
                        <a:solidFill>
                          <a:srgbClr val="FFFFFF"/>
                        </a:solidFill>
                        <a:ln w="12700" cap="flat" cmpd="sng" algn="ctr">
                          <a:solidFill>
                            <a:srgbClr val="000000"/>
                          </a:solidFill>
                          <a:prstDash val="sysDash"/>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9.2pt;margin-top:45.7pt;height:608.85pt;width:396.95pt;z-index:251660288;mso-width-relative:page;mso-height-relative:page;" fillcolor="#FFFFFF" filled="t" stroked="t" coordsize="21600,21600" o:gfxdata="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GLMww3X&#10;AAAACgEAAA8AAAAAAAAAAQAgAAAAIgAAAGRycy9kb3ducmV2LnhtbFBLAQIUABQAAAAIAIdO4kCY&#10;A1W7kwIAACYFAAAOAAAAAAAAAAEAIAAAACYBAABkcnMvZTJvRG9jLnhtbFBLBQYAAAAABgAGAFkB&#10;AAArBgAAAAA=&#10;">
                <v:fill on="t" focussize="0,0"/>
                <v:stroke weight="1pt" color="#000000" miterlimit="8" joinstyle="miter" dashstyle="3 1"/>
                <v:imagedata o:title=""/>
                <o:lock v:ext="edit" aspectratio="f"/>
                <v:textbox>
                  <w:txbxContent>
                    <w:p>
                      <w:pPr>
                        <w:jc w:val="center"/>
                      </w:pPr>
                    </w:p>
                  </w:txbxContent>
                </v:textbox>
              </v:shape>
            </w:pict>
          </mc:Fallback>
        </mc:AlternateContent>
      </w:r>
    </w:p>
    <w:p/>
    <w:p/>
    <w:p/>
    <w:p/>
    <w:p/>
    <w:p/>
    <w:p/>
    <w:p/>
    <w:p/>
    <w:p/>
    <w:p/>
    <w:p/>
    <w:p/>
    <w:p/>
    <w:p/>
    <w:p/>
    <w:p/>
    <w:p/>
    <w:p/>
    <w:p/>
    <w:p/>
    <w:p/>
    <w:p/>
    <w:p/>
    <w:p/>
    <w:p/>
    <w:p/>
    <w:p/>
    <w:p/>
    <w:p/>
    <w:p/>
    <w:p/>
    <w:p/>
    <w:p/>
    <w:p/>
    <w:p/>
    <w:p/>
    <w:p>
      <w:pPr>
        <w:pStyle w:val="2"/>
      </w:pPr>
    </w:p>
    <w:p/>
    <w:p/>
    <w:p/>
    <w:p>
      <w:pPr>
        <w:tabs>
          <w:tab w:val="left" w:pos="6039"/>
        </w:tabs>
        <w:jc w:val="left"/>
        <w:rPr>
          <w:rFonts w:hint="eastAsia"/>
        </w:rPr>
      </w:pPr>
      <w:r>
        <w:rPr>
          <w:rFonts w:hint="eastAsia"/>
        </w:rPr>
        <w:tab/>
      </w:r>
    </w:p>
    <w:p>
      <w:pPr>
        <w:numPr>
          <w:ilvl w:val="0"/>
          <w:numId w:val="0"/>
        </w:numPr>
        <w:jc w:val="center"/>
        <w:rPr>
          <w:rFonts w:hint="eastAsia"/>
          <w:b/>
          <w:sz w:val="36"/>
          <w:szCs w:val="36"/>
          <w:lang w:val="en-US" w:eastAsia="zh-CN"/>
        </w:rPr>
      </w:pPr>
      <w:r>
        <w:rPr>
          <w:rFonts w:hint="eastAsia"/>
          <w:b/>
          <w:sz w:val="36"/>
          <w:szCs w:val="36"/>
          <w:lang w:val="en-US" w:eastAsia="zh-CN"/>
        </w:rPr>
        <w:t>三．投标资料模板</w:t>
      </w:r>
    </w:p>
    <w:p>
      <w:pPr>
        <w:jc w:val="both"/>
        <w:rPr>
          <w:rFonts w:ascii="仿宋" w:hAnsi="仿宋" w:eastAsia="仿宋" w:cs="仿宋"/>
          <w:b/>
          <w:sz w:val="48"/>
          <w:szCs w:val="48"/>
        </w:rPr>
      </w:pPr>
    </w:p>
    <w:p>
      <w:pPr>
        <w:jc w:val="center"/>
        <w:rPr>
          <w:rFonts w:hint="eastAsia" w:cs="仿宋"/>
          <w:b/>
          <w:sz w:val="72"/>
          <w:szCs w:val="72"/>
        </w:rPr>
      </w:pPr>
      <w:r>
        <w:rPr>
          <w:rFonts w:hint="eastAsia" w:cs="仿宋"/>
          <w:b/>
          <w:sz w:val="72"/>
          <w:szCs w:val="72"/>
        </w:rPr>
        <w:t>202</w:t>
      </w:r>
      <w:r>
        <w:rPr>
          <w:rFonts w:hint="eastAsia" w:cs="仿宋"/>
          <w:b/>
          <w:sz w:val="72"/>
          <w:szCs w:val="72"/>
          <w:lang w:val="en-US" w:eastAsia="zh-CN"/>
        </w:rPr>
        <w:t>6</w:t>
      </w:r>
      <w:r>
        <w:rPr>
          <w:rFonts w:hint="eastAsia" w:cs="仿宋"/>
          <w:b/>
          <w:sz w:val="72"/>
          <w:szCs w:val="72"/>
        </w:rPr>
        <w:t>年公开询比第</w:t>
      </w:r>
      <w:r>
        <w:rPr>
          <w:rFonts w:hint="eastAsia" w:cs="仿宋"/>
          <w:b/>
          <w:sz w:val="72"/>
          <w:szCs w:val="72"/>
          <w:lang w:val="en-US" w:eastAsia="zh-CN"/>
        </w:rPr>
        <w:t>十</w:t>
      </w:r>
      <w:r>
        <w:rPr>
          <w:rFonts w:hint="eastAsia" w:cs="仿宋"/>
          <w:b/>
          <w:sz w:val="72"/>
          <w:szCs w:val="72"/>
          <w:lang w:val="en-US" w:eastAsia="zh-CN"/>
        </w:rPr>
        <w:tab/>
      </w:r>
      <w:r>
        <w:rPr>
          <w:rFonts w:hint="eastAsia" w:cs="仿宋"/>
          <w:b/>
          <w:sz w:val="72"/>
          <w:szCs w:val="72"/>
          <w:lang w:val="en-US" w:eastAsia="zh-CN"/>
        </w:rPr>
        <w:t>九</w:t>
      </w:r>
      <w:r>
        <w:rPr>
          <w:rFonts w:hint="eastAsia" w:cs="仿宋"/>
          <w:b/>
          <w:sz w:val="72"/>
          <w:szCs w:val="72"/>
        </w:rPr>
        <w:t>批</w:t>
      </w:r>
    </w:p>
    <w:p>
      <w:pPr>
        <w:jc w:val="center"/>
        <w:rPr>
          <w:rFonts w:cs="仿宋"/>
          <w:b/>
          <w:sz w:val="72"/>
          <w:szCs w:val="72"/>
        </w:rPr>
      </w:pPr>
      <w:r>
        <w:rPr>
          <w:rFonts w:hint="eastAsia" w:cs="仿宋"/>
          <w:b/>
          <w:sz w:val="72"/>
          <w:szCs w:val="72"/>
        </w:rPr>
        <w:t xml:space="preserve">投标资料 </w:t>
      </w:r>
    </w:p>
    <w:p>
      <w:pPr>
        <w:jc w:val="center"/>
        <w:rPr>
          <w:rFonts w:ascii="仿宋" w:hAnsi="仿宋" w:eastAsia="仿宋" w:cs="仿宋"/>
          <w:b/>
          <w:sz w:val="48"/>
          <w:szCs w:val="4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jc w:val="both"/>
        <w:rPr>
          <w:rFonts w:hint="eastAsia" w:cs="仿宋"/>
          <w:b/>
          <w:sz w:val="28"/>
          <w:szCs w:val="28"/>
        </w:rPr>
      </w:pPr>
    </w:p>
    <w:p>
      <w:pPr>
        <w:jc w:val="center"/>
        <w:rPr>
          <w:rFonts w:hint="default"/>
          <w:b/>
          <w:sz w:val="28"/>
          <w:szCs w:val="28"/>
          <w:u w:val="single"/>
          <w:lang w:val="en-US" w:eastAsia="zh-CN"/>
        </w:rPr>
      </w:pPr>
      <w:r>
        <w:rPr>
          <w:rFonts w:hint="eastAsia" w:cs="仿宋"/>
          <w:b/>
          <w:sz w:val="28"/>
          <w:szCs w:val="28"/>
        </w:rPr>
        <w:t>项目名称：</w:t>
      </w:r>
      <w:r>
        <w:rPr>
          <w:rFonts w:hint="eastAsia" w:cs="仿宋"/>
          <w:b/>
          <w:sz w:val="28"/>
          <w:szCs w:val="28"/>
          <w:u w:val="single"/>
        </w:rPr>
        <w:t xml:space="preserve"> </w:t>
      </w:r>
      <w:r>
        <w:rPr>
          <w:rFonts w:hint="eastAsia" w:cs="仿宋"/>
          <w:b/>
          <w:sz w:val="28"/>
          <w:szCs w:val="28"/>
          <w:u w:val="single"/>
          <w:lang w:val="en-US" w:eastAsia="zh-CN"/>
        </w:rPr>
        <w:t xml:space="preserve"> 产科电动产床采购项目 </w:t>
      </w:r>
    </w:p>
    <w:p>
      <w:pPr>
        <w:ind w:firstLine="1968" w:firstLineChars="700"/>
        <w:jc w:val="both"/>
        <w:rPr>
          <w:rFonts w:hint="eastAsia" w:ascii="仿宋" w:hAnsi="仿宋" w:cs="仿宋" w:eastAsiaTheme="minorEastAsia"/>
          <w:b/>
          <w:sz w:val="28"/>
          <w:szCs w:val="28"/>
          <w:u w:val="single"/>
          <w:lang w:val="en-US" w:eastAsia="zh-CN"/>
        </w:rPr>
      </w:pPr>
      <w:r>
        <w:rPr>
          <w:rFonts w:hint="eastAsia" w:cs="仿宋"/>
          <w:b/>
          <w:sz w:val="28"/>
          <w:szCs w:val="28"/>
        </w:rPr>
        <w:t>投标供应商</w:t>
      </w:r>
      <w:r>
        <w:rPr>
          <w:rFonts w:hint="eastAsia" w:ascii="仿宋" w:hAnsi="仿宋" w:eastAsia="仿宋" w:cs="仿宋"/>
          <w:b/>
          <w:sz w:val="28"/>
          <w:szCs w:val="28"/>
        </w:rPr>
        <w:t>：</w:t>
      </w:r>
      <w:r>
        <w:rPr>
          <w:rFonts w:hint="eastAsia" w:cs="仿宋"/>
          <w:b/>
          <w:sz w:val="28"/>
          <w:szCs w:val="28"/>
          <w:u w:val="single"/>
        </w:rPr>
        <w:t>（盖章）</w:t>
      </w:r>
      <w:r>
        <w:rPr>
          <w:rFonts w:hint="eastAsia" w:cs="仿宋"/>
          <w:b/>
          <w:sz w:val="28"/>
          <w:szCs w:val="28"/>
          <w:u w:val="single"/>
          <w:lang w:val="en-US" w:eastAsia="zh-CN"/>
        </w:rPr>
        <w:t xml:space="preserve">        </w:t>
      </w:r>
    </w:p>
    <w:p>
      <w:pPr>
        <w:rPr>
          <w:rFonts w:ascii="仿宋" w:hAnsi="仿宋" w:eastAsia="仿宋" w:cs="仿宋"/>
          <w:sz w:val="28"/>
          <w:szCs w:val="28"/>
        </w:rPr>
      </w:pPr>
    </w:p>
    <w:p>
      <w:pPr>
        <w:pStyle w:val="2"/>
      </w:pPr>
    </w:p>
    <w:p>
      <w:pPr>
        <w:jc w:val="center"/>
        <w:rPr>
          <w:rFonts w:ascii="仿宋" w:hAnsi="仿宋" w:eastAsia="仿宋" w:cs="仿宋"/>
        </w:rPr>
      </w:pPr>
    </w:p>
    <w:p>
      <w:pPr>
        <w:rPr>
          <w:rFonts w:ascii="仿宋" w:hAnsi="仿宋" w:eastAsia="仿宋" w:cs="仿宋"/>
        </w:rPr>
      </w:pPr>
      <w:r>
        <w:rPr>
          <w:rFonts w:hint="eastAsia" w:ascii="仿宋" w:hAnsi="仿宋" w:eastAsia="仿宋" w:cs="仿宋"/>
        </w:rPr>
        <w:br w:type="page"/>
      </w:r>
    </w:p>
    <w:p>
      <w:pPr>
        <w:pStyle w:val="3"/>
        <w:rPr>
          <w:rFonts w:hint="eastAsia"/>
        </w:rPr>
      </w:pPr>
    </w:p>
    <w:p>
      <w:pPr>
        <w:pStyle w:val="3"/>
      </w:pPr>
      <w:r>
        <w:rPr>
          <w:rFonts w:hint="eastAsia"/>
        </w:rPr>
        <w:t>一、报价表</w:t>
      </w:r>
    </w:p>
    <w:p>
      <w:pPr>
        <w:tabs>
          <w:tab w:val="left" w:pos="1800"/>
        </w:tabs>
        <w:jc w:val="center"/>
        <w:rPr>
          <w:b/>
          <w:szCs w:val="21"/>
        </w:rPr>
      </w:pPr>
    </w:p>
    <w:tbl>
      <w:tblPr>
        <w:tblStyle w:val="8"/>
        <w:tblpPr w:leftFromText="180" w:rightFromText="180" w:vertAnchor="text" w:horzAnchor="page" w:tblpXSpec="center" w:tblpY="233"/>
        <w:tblOverlap w:val="never"/>
        <w:tblW w:w="9525" w:type="dxa"/>
        <w:tblInd w:w="0" w:type="dxa"/>
        <w:tblLayout w:type="fixed"/>
        <w:tblCellMar>
          <w:top w:w="0" w:type="dxa"/>
          <w:left w:w="108" w:type="dxa"/>
          <w:bottom w:w="0" w:type="dxa"/>
          <w:right w:w="108" w:type="dxa"/>
        </w:tblCellMar>
      </w:tblPr>
      <w:tblGrid>
        <w:gridCol w:w="485"/>
        <w:gridCol w:w="1738"/>
        <w:gridCol w:w="645"/>
        <w:gridCol w:w="1071"/>
        <w:gridCol w:w="1071"/>
        <w:gridCol w:w="1071"/>
        <w:gridCol w:w="1062"/>
        <w:gridCol w:w="1062"/>
        <w:gridCol w:w="1320"/>
      </w:tblGrid>
      <w:tr>
        <w:tblPrEx>
          <w:tblCellMar>
            <w:top w:w="0" w:type="dxa"/>
            <w:left w:w="108" w:type="dxa"/>
            <w:bottom w:w="0" w:type="dxa"/>
            <w:right w:w="108" w:type="dxa"/>
          </w:tblCellMar>
        </w:tblPrEx>
        <w:trPr>
          <w:trHeight w:val="918" w:hRule="atLeast"/>
        </w:trPr>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序号</w:t>
            </w:r>
          </w:p>
        </w:tc>
        <w:tc>
          <w:tcPr>
            <w:tcW w:w="173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标的名称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sz w:val="18"/>
                <w:szCs w:val="18"/>
                <w:lang w:eastAsia="zh-CN"/>
              </w:rPr>
            </w:pPr>
            <w:r>
              <w:rPr>
                <w:rFonts w:hint="eastAsia" w:ascii="宋体" w:hAnsi="宋体" w:cs="宋体"/>
                <w:b/>
                <w:bCs/>
                <w:color w:val="000000"/>
                <w:kern w:val="0"/>
                <w:sz w:val="18"/>
                <w:szCs w:val="18"/>
              </w:rPr>
              <w:t>数量</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品牌型号</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预算单价</w:t>
            </w:r>
          </w:p>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（元）</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预算总价</w:t>
            </w:r>
          </w:p>
          <w:p>
            <w:pPr>
              <w:pageBreakBefore w:val="0"/>
              <w:widowControl/>
              <w:kinsoku/>
              <w:wordWrap/>
              <w:overflowPunct/>
              <w:topLinePunct w:val="0"/>
              <w:autoSpaceDE/>
              <w:autoSpaceDN/>
              <w:bidi w:val="0"/>
              <w:adjustRightInd/>
              <w:snapToGrid/>
              <w:spacing w:line="400" w:lineRule="exact"/>
              <w:jc w:val="center"/>
              <w:textAlignment w:val="center"/>
              <w:rPr>
                <w:rFonts w:hint="default"/>
                <w:lang w:val="en-US" w:eastAsia="zh-CN"/>
              </w:rPr>
            </w:pPr>
            <w:r>
              <w:rPr>
                <w:rFonts w:hint="eastAsia" w:ascii="宋体" w:hAnsi="宋体" w:cs="宋体"/>
                <w:b/>
                <w:bCs/>
                <w:color w:val="000000"/>
                <w:kern w:val="0"/>
                <w:sz w:val="18"/>
                <w:szCs w:val="18"/>
                <w:lang w:val="en-US" w:eastAsia="zh-CN"/>
              </w:rPr>
              <w:t>（元）</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jc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报价单价</w:t>
            </w:r>
          </w:p>
          <w:p>
            <w:pPr>
              <w:pStyle w:val="2"/>
              <w:jc w:val="center"/>
              <w:rPr>
                <w:rFonts w:hint="default" w:ascii="宋体" w:hAnsi="宋体" w:cs="宋体"/>
                <w:b/>
                <w:bCs/>
                <w:color w:val="000000"/>
                <w:kern w:val="0"/>
                <w:sz w:val="18"/>
                <w:szCs w:val="18"/>
                <w:lang w:val="en-US" w:eastAsia="zh-CN"/>
              </w:rPr>
            </w:pPr>
            <w:r>
              <w:rPr>
                <w:rFonts w:hint="eastAsia" w:ascii="宋体" w:hAnsi="宋体" w:cs="宋体"/>
                <w:b/>
                <w:bCs/>
                <w:color w:val="000000"/>
                <w:kern w:val="0"/>
                <w:sz w:val="18"/>
                <w:szCs w:val="18"/>
              </w:rPr>
              <w:t>(元)</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报价总价</w:t>
            </w:r>
          </w:p>
          <w:p>
            <w:pPr>
              <w:pStyle w:val="2"/>
              <w:jc w:val="center"/>
              <w:rPr>
                <w:rFonts w:hint="default"/>
                <w:lang w:val="en-US" w:eastAsia="zh-CN"/>
              </w:rPr>
            </w:pPr>
            <w:r>
              <w:rPr>
                <w:rFonts w:hint="eastAsia" w:ascii="宋体" w:hAnsi="宋体" w:cs="宋体"/>
                <w:b/>
                <w:bCs/>
                <w:color w:val="000000"/>
                <w:kern w:val="0"/>
                <w:sz w:val="18"/>
                <w:szCs w:val="18"/>
              </w:rPr>
              <w:t>(元)</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备注</w:t>
            </w:r>
          </w:p>
        </w:tc>
      </w:tr>
      <w:tr>
        <w:tblPrEx>
          <w:tblCellMar>
            <w:top w:w="0" w:type="dxa"/>
            <w:left w:w="108" w:type="dxa"/>
            <w:bottom w:w="0" w:type="dxa"/>
            <w:right w:w="108" w:type="dxa"/>
          </w:tblCellMar>
        </w:tblPrEx>
        <w:trPr>
          <w:trHeight w:val="609" w:hRule="atLeast"/>
        </w:trPr>
        <w:tc>
          <w:tcPr>
            <w:tcW w:w="485"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eastAsia" w:ascii="宋体" w:hAnsi="宋体" w:eastAsia="宋体" w:cs="宋体"/>
                <w:bCs/>
                <w:sz w:val="18"/>
                <w:szCs w:val="18"/>
                <w:lang w:val="en-US" w:eastAsia="zh-CN"/>
              </w:rPr>
            </w:pPr>
            <w:r>
              <w:rPr>
                <w:rFonts w:hint="eastAsia" w:ascii="宋体" w:hAnsi="宋体" w:eastAsia="宋体" w:cs="宋体"/>
                <w:bCs/>
                <w:sz w:val="18"/>
                <w:szCs w:val="18"/>
                <w:lang w:val="en-US" w:eastAsia="zh-CN"/>
              </w:rPr>
              <w:t>1</w:t>
            </w:r>
          </w:p>
        </w:tc>
        <w:tc>
          <w:tcPr>
            <w:tcW w:w="173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产科电动产床采购项目</w:t>
            </w:r>
          </w:p>
        </w:tc>
        <w:tc>
          <w:tcPr>
            <w:tcW w:w="64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4台</w:t>
            </w:r>
          </w:p>
        </w:tc>
        <w:tc>
          <w:tcPr>
            <w:tcW w:w="107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107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74500</w:t>
            </w:r>
          </w:p>
        </w:tc>
        <w:tc>
          <w:tcPr>
            <w:tcW w:w="107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298000</w:t>
            </w:r>
          </w:p>
        </w:tc>
        <w:tc>
          <w:tcPr>
            <w:tcW w:w="106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22"/>
                <w:szCs w:val="22"/>
                <w:u w:val="none"/>
                <w:vertAlign w:val="baseline"/>
                <w:lang w:val="en-US" w:eastAsia="zh-CN" w:bidi="ar"/>
              </w:rPr>
            </w:pPr>
          </w:p>
        </w:tc>
        <w:tc>
          <w:tcPr>
            <w:tcW w:w="106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i w:val="0"/>
                <w:iCs w:val="0"/>
                <w:color w:val="000000"/>
                <w:kern w:val="0"/>
                <w:sz w:val="22"/>
                <w:szCs w:val="22"/>
                <w:u w:val="none"/>
                <w:vertAlign w:val="baseline"/>
                <w:lang w:val="en-US" w:eastAsia="zh-CN" w:bidi="ar"/>
              </w:rPr>
            </w:pPr>
          </w:p>
        </w:tc>
        <w:tc>
          <w:tcPr>
            <w:tcW w:w="132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default" w:ascii="宋体" w:hAnsi="宋体" w:cs="宋体"/>
                <w:bCs/>
                <w:sz w:val="18"/>
                <w:szCs w:val="18"/>
                <w:lang w:val="en-US" w:eastAsia="zh-CN"/>
              </w:rPr>
            </w:pPr>
          </w:p>
        </w:tc>
      </w:tr>
    </w:tbl>
    <w:p/>
    <w:p>
      <w:pPr>
        <w:pStyle w:val="2"/>
      </w:pPr>
    </w:p>
    <w:p>
      <w:pPr>
        <w:spacing w:line="480" w:lineRule="auto"/>
        <w:ind w:firstLine="4480" w:firstLineChars="1600"/>
        <w:rPr>
          <w:rFonts w:eastAsia="仿宋"/>
          <w:sz w:val="28"/>
          <w:szCs w:val="28"/>
        </w:rPr>
      </w:pPr>
      <w:r>
        <w:rPr>
          <w:rFonts w:hint="eastAsia"/>
          <w:sz w:val="28"/>
          <w:szCs w:val="28"/>
        </w:rPr>
        <w:t>公司名称：（盖章）</w:t>
      </w:r>
    </w:p>
    <w:p>
      <w:pPr>
        <w:spacing w:line="480" w:lineRule="auto"/>
        <w:rPr>
          <w:sz w:val="28"/>
          <w:szCs w:val="28"/>
        </w:rPr>
      </w:pPr>
      <w:r>
        <w:rPr>
          <w:rFonts w:hint="eastAsia"/>
          <w:sz w:val="28"/>
          <w:szCs w:val="28"/>
        </w:rPr>
        <w:t xml:space="preserve">                                联系人：</w:t>
      </w:r>
    </w:p>
    <w:p>
      <w:pPr>
        <w:spacing w:line="480" w:lineRule="auto"/>
        <w:ind w:firstLine="4480" w:firstLineChars="1600"/>
        <w:rPr>
          <w:sz w:val="28"/>
          <w:szCs w:val="28"/>
        </w:rPr>
      </w:pPr>
      <w:r>
        <w:rPr>
          <w:rFonts w:hint="eastAsia"/>
          <w:sz w:val="28"/>
          <w:szCs w:val="28"/>
        </w:rPr>
        <w:t>联系电话：</w:t>
      </w:r>
    </w:p>
    <w:p>
      <w:pPr>
        <w:spacing w:line="480" w:lineRule="auto"/>
        <w:ind w:firstLine="4480" w:firstLineChars="1600"/>
        <w:rPr>
          <w:rFonts w:hint="eastAsia"/>
          <w:sz w:val="28"/>
          <w:szCs w:val="28"/>
        </w:rPr>
      </w:pPr>
      <w:r>
        <w:rPr>
          <w:rFonts w:hint="eastAsia"/>
          <w:sz w:val="28"/>
          <w:szCs w:val="28"/>
        </w:rPr>
        <w:t>日    期：    年  月  日</w:t>
      </w:r>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bidi w:val="0"/>
        <w:rPr>
          <w:lang w:val="en-US" w:eastAsia="zh-CN"/>
        </w:rPr>
      </w:pPr>
    </w:p>
    <w:p>
      <w:pPr>
        <w:bidi w:val="0"/>
        <w:rPr>
          <w:lang w:val="en-US" w:eastAsia="zh-CN"/>
        </w:rPr>
      </w:pPr>
    </w:p>
    <w:p>
      <w:pPr>
        <w:tabs>
          <w:tab w:val="left" w:pos="7221"/>
        </w:tabs>
        <w:bidi w:val="0"/>
        <w:jc w:val="left"/>
        <w:rPr>
          <w:rFonts w:hint="eastAsia"/>
          <w:lang w:val="en-US" w:eastAsia="zh-CN"/>
        </w:rPr>
      </w:pPr>
      <w:r>
        <w:rPr>
          <w:rFonts w:hint="eastAsia"/>
          <w:lang w:val="en-US" w:eastAsia="zh-CN"/>
        </w:rPr>
        <w:tab/>
      </w:r>
    </w:p>
    <w:p>
      <w:pPr>
        <w:pStyle w:val="3"/>
      </w:pPr>
      <w:r>
        <w:rPr>
          <w:rFonts w:hint="eastAsia"/>
        </w:rPr>
        <w:t>二、投标方提供相关资质证明（可扫描，盖章）。</w:t>
      </w:r>
    </w:p>
    <w:p>
      <w:r>
        <w:rPr>
          <w:rFonts w:hint="eastAsia" w:ascii="宋体" w:hAnsi="宋体" w:eastAsia="宋体" w:cs="宋体"/>
          <w:i w:val="0"/>
          <w:iCs w:val="0"/>
          <w:color w:val="000000"/>
          <w:sz w:val="22"/>
          <w:szCs w:val="22"/>
          <w:u w:val="none"/>
          <w:lang w:eastAsia="zh-CN"/>
        </w:rPr>
        <w:t>有效的且与所投项目相适应的营业执照、医疗器械生产许可或经营许可、产品注册证</w:t>
      </w:r>
      <w:r>
        <w:rPr>
          <w:rFonts w:hint="eastAsia"/>
        </w:rPr>
        <w:br w:type="page"/>
      </w:r>
    </w:p>
    <w:p>
      <w:pPr>
        <w:pStyle w:val="3"/>
        <w:rPr>
          <w:rFonts w:ascii="宋体" w:hAnsi="宋体"/>
          <w:sz w:val="30"/>
          <w:szCs w:val="30"/>
        </w:rPr>
      </w:pPr>
      <w:r>
        <w:rPr>
          <w:rFonts w:hint="eastAsia"/>
        </w:rPr>
        <w:t>三、授权委托证明书（如联系人为法人代表，可不提供此项）</w:t>
      </w:r>
    </w:p>
    <w:p>
      <w:pPr>
        <w:spacing w:line="540" w:lineRule="exact"/>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廉江市人民医院：</w:t>
      </w:r>
    </w:p>
    <w:p>
      <w:pPr>
        <w:spacing w:line="540" w:lineRule="exact"/>
        <w:ind w:left="210" w:leftChars="100" w:firstLine="560" w:firstLineChars="200"/>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（投标方全称）法定代表人（姓名）兹授权（授权代表姓名）为授权代表，参加贵方采购项目。</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（授权代表姓名）以我单位的名义并代表我单位全权处理贵院采购活动中的一切事宜，其在本项目采购活动中的一切行为对我单位具有法律约束力。</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有效期限：年月日至年月日</w:t>
      </w:r>
    </w:p>
    <w:p>
      <w:pPr>
        <w:spacing w:line="540" w:lineRule="exact"/>
        <w:ind w:firstLine="560" w:firstLineChars="200"/>
        <w:rPr>
          <w:rFonts w:ascii="仿宋" w:hAnsi="仿宋" w:eastAsia="仿宋" w:cs="仿宋"/>
          <w:color w:val="333333"/>
          <w:kern w:val="0"/>
          <w:sz w:val="28"/>
          <w:szCs w:val="28"/>
        </w:rPr>
      </w:pP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单位名称（公章）：</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法定代表人（签字或签章）：                  </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日期：年月日</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授权代表（签字或签章）：                    </w:t>
      </w:r>
    </w:p>
    <w:p>
      <w:pPr>
        <w:spacing w:line="540" w:lineRule="exact"/>
        <w:rPr>
          <w:rFonts w:cs="仿宋"/>
          <w:color w:val="333333"/>
          <w:kern w:val="0"/>
          <w:sz w:val="28"/>
          <w:szCs w:val="28"/>
        </w:rPr>
      </w:pPr>
      <w:r>
        <w:rPr>
          <w:rFonts w:hint="eastAsia" w:ascii="仿宋" w:hAnsi="仿宋" w:eastAsia="仿宋" w:cs="仿宋"/>
          <w:color w:val="333333"/>
          <w:kern w:val="0"/>
          <w:sz w:val="28"/>
          <w:szCs w:val="28"/>
        </w:rPr>
        <w:t>日期：年月日</w:t>
      </w:r>
    </w:p>
    <w:p>
      <w:pPr>
        <w:pStyle w:val="2"/>
        <w:rPr>
          <w:rFonts w:ascii="仿宋" w:hAnsi="仿宋" w:eastAsia="仿宋" w:cs="仿宋"/>
          <w:color w:val="333333"/>
          <w:kern w:val="0"/>
          <w:sz w:val="28"/>
          <w:szCs w:val="28"/>
        </w:rPr>
      </w:pPr>
      <w:r>
        <w:rPr>
          <w:rFonts w:ascii="仿宋" w:hAnsi="仿宋" w:eastAsia="仿宋" w:cs="仿宋"/>
          <w:color w:val="333333"/>
          <w:kern w:val="0"/>
          <w:sz w:val="28"/>
          <w:szCs w:val="28"/>
        </w:rPr>
        <mc:AlternateContent>
          <mc:Choice Requires="wps">
            <w:drawing>
              <wp:inline distT="0" distB="0" distL="114300" distR="114300">
                <wp:extent cx="5765800" cy="2980690"/>
                <wp:effectExtent l="4445" t="5080" r="20955" b="5080"/>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4953000" cy="2980690"/>
                        </a:xfrm>
                        <a:prstGeom prst="flowChartAlternateProcess">
                          <a:avLst/>
                        </a:prstGeom>
                        <a:solidFill>
                          <a:srgbClr val="FFFFFF"/>
                        </a:solidFill>
                        <a:ln w="9525">
                          <a:solidFill>
                            <a:srgbClr val="000000"/>
                          </a:solidFill>
                          <a:prstDash val="dash"/>
                          <a:miter lim="800000"/>
                        </a:ln>
                        <a:effectLst/>
                      </wps:spPr>
                      <wps:txb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wps:txbx>
                      <wps:bodyPr rot="0" vert="horz" wrap="square" lIns="91440" tIns="45720" rIns="91440" bIns="45720" anchor="t" anchorCtr="0" upright="1">
                        <a:noAutofit/>
                      </wps:bodyPr>
                    </wps:wsp>
                  </a:graphicData>
                </a:graphic>
              </wp:inline>
            </w:drawing>
          </mc:Choice>
          <mc:Fallback>
            <w:pict>
              <v:shape id="_x0000_s1026" o:spid="_x0000_s1026" o:spt="176" type="#_x0000_t176" style="height:234.7pt;width:454pt;" fillcolor="#FFFFFF" filled="t" stroked="t" coordsize="21600,21600" o:gfxdata="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6i16v1gAAAAUBAAAPAAAAAAAAAAEAIAAAACIAAABkcnMvZG93&#10;bnJldi54bWxQSwECFAAUAAAACACHTuJAlbcZrHQCAADHBAAADgAAAAAAAAABACAAAAAlAQAAZHJz&#10;L2Uyb0RvYy54bWxQSwUGAAAAAAYABgBZAQAACwYAAAAA&#10;">
                <v:fill on="t" focussize="0,0"/>
                <v:stroke color="#000000" miterlimit="8" joinstyle="miter" dashstyle="dash"/>
                <v:imagedata o:title=""/>
                <o:lock v:ext="edit" aspectratio="f"/>
                <v:textbo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v:textbox>
                <w10:wrap type="none"/>
                <w10:anchorlock/>
              </v:shape>
            </w:pict>
          </mc:Fallback>
        </mc:AlternateContent>
      </w:r>
    </w:p>
    <w:p>
      <w:pPr>
        <w:pStyle w:val="2"/>
        <w:rPr>
          <w:rFonts w:ascii="仿宋" w:hAnsi="仿宋" w:eastAsia="仿宋" w:cs="仿宋"/>
          <w:color w:val="333333"/>
          <w:kern w:val="0"/>
          <w:sz w:val="28"/>
          <w:szCs w:val="28"/>
        </w:rPr>
      </w:pPr>
    </w:p>
    <w:p>
      <w:pPr>
        <w:pStyle w:val="3"/>
      </w:pPr>
      <w:r>
        <w:rPr>
          <w:rFonts w:hint="eastAsia"/>
        </w:rPr>
        <w:t>四、承诺函</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致：廉江市人民医院</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对于本项目，我方郑重承诺满足以下要求：    </w:t>
      </w:r>
    </w:p>
    <w:tbl>
      <w:tblPr>
        <w:tblStyle w:val="8"/>
        <w:tblpPr w:leftFromText="180" w:rightFromText="180" w:vertAnchor="text" w:horzAnchor="page" w:tblpXSpec="center" w:tblpY="638"/>
        <w:tblOverlap w:val="never"/>
        <w:tblW w:w="9079" w:type="dxa"/>
        <w:tblInd w:w="0" w:type="dxa"/>
        <w:tblLayout w:type="autofit"/>
        <w:tblCellMar>
          <w:top w:w="0" w:type="dxa"/>
          <w:left w:w="108" w:type="dxa"/>
          <w:bottom w:w="0" w:type="dxa"/>
          <w:right w:w="108" w:type="dxa"/>
        </w:tblCellMar>
      </w:tblPr>
      <w:tblGrid>
        <w:gridCol w:w="1475"/>
        <w:gridCol w:w="7604"/>
      </w:tblGrid>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标的提供的时间</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中标后30天内完成交付使用。</w:t>
            </w:r>
          </w:p>
        </w:tc>
      </w:tr>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标的提供的地点</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廉江市人民医院指定地点。</w:t>
            </w:r>
          </w:p>
        </w:tc>
      </w:tr>
      <w:tr>
        <w:tblPrEx>
          <w:tblCellMar>
            <w:top w:w="0" w:type="dxa"/>
            <w:left w:w="108" w:type="dxa"/>
            <w:bottom w:w="0" w:type="dxa"/>
            <w:right w:w="108" w:type="dxa"/>
          </w:tblCellMar>
        </w:tblPrEx>
        <w:trPr>
          <w:trHeight w:val="864"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付款方式</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产品验收合格且开具发票后，2年内支付100%。</w:t>
            </w:r>
          </w:p>
        </w:tc>
      </w:tr>
      <w:tr>
        <w:tblPrEx>
          <w:tblCellMar>
            <w:top w:w="0" w:type="dxa"/>
            <w:left w:w="108" w:type="dxa"/>
            <w:bottom w:w="0" w:type="dxa"/>
            <w:right w:w="108" w:type="dxa"/>
          </w:tblCellMar>
        </w:tblPrEx>
        <w:trPr>
          <w:trHeight w:val="653"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验收要求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1.设备安装完成且甲方试用其性能达标后，原则上15个工作日内验收，验收应在甲乙双方共同参加下进行。</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2.国内产品或合资厂的产品必须具备出厂合格证。</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zCs w:val="21"/>
                <w:lang w:val="en-US" w:eastAsia="zh-CN"/>
              </w:rPr>
              <w:t>3.</w:t>
            </w:r>
            <w:r>
              <w:rPr>
                <w:rFonts w:hint="eastAsia" w:ascii="宋体" w:hAnsi="宋体" w:eastAsia="宋体" w:cs="宋体"/>
                <w:szCs w:val="21"/>
              </w:rPr>
              <w:t>进口产品必须具备原产地证明和国家出入境检验检疫局的检验证明及合法进货渠道证明</w:t>
            </w:r>
            <w:r>
              <w:rPr>
                <w:rFonts w:hint="eastAsia" w:ascii="宋体" w:hAnsi="宋体" w:eastAsia="宋体" w:cs="宋体"/>
                <w:szCs w:val="21"/>
                <w:lang w:eastAsia="zh-CN"/>
              </w:rPr>
              <w:t>。</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设备为《中华人民共和国特种设备目录》中规定的特种设备的，需要按照《中华人民共和国特种设备安全法》以及相关法规文件要求安排相应的安全检查；为《中华人民共和国强制检定的工作计量器具明细目录》中规定的计量器具的，需要按照国家《中华人民共和国计量法实施细则》及相关法规文件要求出具设备的首检证书。</w:t>
            </w:r>
          </w:p>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5.验收时如发现所交付的货物有短装、次品、损坏或其它不符合合同规定之情形者，由此产生的有关费用由中标人承担。</w:t>
            </w:r>
          </w:p>
        </w:tc>
      </w:tr>
      <w:tr>
        <w:tblPrEx>
          <w:tblCellMar>
            <w:top w:w="0" w:type="dxa"/>
            <w:left w:w="108" w:type="dxa"/>
            <w:bottom w:w="0" w:type="dxa"/>
            <w:right w:w="108" w:type="dxa"/>
          </w:tblCellMar>
        </w:tblPrEx>
        <w:trPr>
          <w:trHeight w:val="805"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i w:val="0"/>
                <w:iCs w:val="0"/>
                <w:color w:val="000000"/>
                <w:kern w:val="0"/>
                <w:sz w:val="24"/>
                <w:szCs w:val="24"/>
                <w:u w:val="none"/>
                <w:lang w:val="en-US" w:eastAsia="zh-CN" w:bidi="ar"/>
              </w:rPr>
              <w:t>售后要求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Fonts w:hint="eastAsia" w:ascii="宋体" w:hAnsi="宋体" w:eastAsia="宋体" w:cs="宋体"/>
                <w:i w:val="0"/>
                <w:iCs w:val="0"/>
                <w:color w:val="000000"/>
                <w:kern w:val="0"/>
                <w:sz w:val="22"/>
                <w:szCs w:val="22"/>
                <w:u w:val="none"/>
                <w:lang w:val="en-US" w:eastAsia="zh-CN" w:bidi="ar"/>
              </w:rPr>
              <w:t>原厂质保：≥5年（电池除外，电池≥2年）。保修期自货物最终验收合格之日起算，保修期内中标人对所供货物实行包修、包换、包退、包维护保养，期满后可同时提供终身(有偿)维修保养服务。</w:t>
            </w:r>
          </w:p>
        </w:tc>
      </w:tr>
    </w:tbl>
    <w:p>
      <w:pPr>
        <w:rPr>
          <w:rFonts w:ascii="仿宋" w:hAnsi="仿宋" w:eastAsia="仿宋" w:cs="仿宋"/>
          <w:sz w:val="24"/>
        </w:rPr>
      </w:pPr>
    </w:p>
    <w:p/>
    <w:p/>
    <w:p/>
    <w:p/>
    <w:p>
      <w:pPr>
        <w:spacing w:line="480" w:lineRule="auto"/>
        <w:ind w:firstLine="3150" w:firstLineChars="1500"/>
        <w:rPr>
          <w:sz w:val="28"/>
          <w:szCs w:val="28"/>
        </w:rPr>
      </w:pPr>
      <w:r>
        <w:rPr>
          <w:rFonts w:hint="eastAsia"/>
        </w:rPr>
        <w:tab/>
      </w:r>
      <w:r>
        <w:rPr>
          <w:rFonts w:hint="eastAsia"/>
          <w:lang w:val="en-US" w:eastAsia="zh-CN"/>
        </w:rPr>
        <w:t xml:space="preserve">           </w:t>
      </w:r>
      <w:r>
        <w:rPr>
          <w:rFonts w:hint="eastAsia"/>
          <w:sz w:val="28"/>
          <w:szCs w:val="28"/>
        </w:rPr>
        <w:t>公司名称：（盖章）</w:t>
      </w:r>
    </w:p>
    <w:p>
      <w:pPr>
        <w:spacing w:line="480" w:lineRule="auto"/>
        <w:ind w:firstLine="4480" w:firstLineChars="1600"/>
        <w:rPr>
          <w:sz w:val="28"/>
          <w:szCs w:val="28"/>
        </w:rPr>
      </w:pPr>
      <w:r>
        <w:rPr>
          <w:rFonts w:hint="eastAsia"/>
          <w:sz w:val="28"/>
          <w:szCs w:val="28"/>
        </w:rPr>
        <w:t>日    期：    年月  日</w:t>
      </w:r>
    </w:p>
    <w:p>
      <w:pPr>
        <w:rPr>
          <w:rFonts w:ascii="仿宋" w:hAnsi="仿宋" w:eastAsia="仿宋" w:cs="仿宋"/>
          <w:sz w:val="24"/>
        </w:rPr>
      </w:pPr>
    </w:p>
    <w:p/>
    <w:p>
      <w:pPr>
        <w:pStyle w:val="2"/>
      </w:pPr>
    </w:p>
    <w:p>
      <w:pPr>
        <w:pStyle w:val="2"/>
      </w:pPr>
    </w:p>
    <w:p>
      <w:pPr>
        <w:pStyle w:val="2"/>
      </w:pPr>
    </w:p>
    <w:p>
      <w:pPr>
        <w:pStyle w:val="2"/>
      </w:pPr>
    </w:p>
    <w:p>
      <w:bookmarkStart w:id="0" w:name="_GoBack"/>
      <w:bookmarkEnd w:id="0"/>
    </w:p>
    <w:p>
      <w:pPr>
        <w:keepNext w:val="0"/>
        <w:keepLines w:val="0"/>
        <w:pageBreakBefore w:val="0"/>
        <w:widowControl w:val="0"/>
        <w:tabs>
          <w:tab w:val="left" w:pos="285"/>
        </w:tabs>
        <w:kinsoku/>
        <w:wordWrap/>
        <w:overflowPunct/>
        <w:topLinePunct w:val="0"/>
        <w:autoSpaceDE/>
        <w:autoSpaceDN/>
        <w:bidi w:val="0"/>
        <w:adjustRightInd/>
        <w:snapToGrid/>
        <w:spacing w:line="240" w:lineRule="auto"/>
        <w:jc w:val="left"/>
        <w:textAlignment w:val="auto"/>
      </w:pPr>
      <w:r>
        <w:rPr>
          <w:rFonts w:hint="eastAsia"/>
        </w:rPr>
        <w:tab/>
      </w:r>
      <w:r>
        <w:rPr>
          <w:rFonts w:hint="eastAsia" w:eastAsia="仿宋" w:cs="仿宋"/>
          <w:b/>
          <w:kern w:val="44"/>
          <w:sz w:val="36"/>
        </w:rPr>
        <w:t>五、详细评审</w:t>
      </w:r>
    </w:p>
    <w:tbl>
      <w:tblPr>
        <w:tblStyle w:val="9"/>
        <w:tblW w:w="11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1335"/>
        <w:gridCol w:w="7532"/>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评审因素</w:t>
            </w:r>
          </w:p>
        </w:tc>
        <w:tc>
          <w:tcPr>
            <w:tcW w:w="8867"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评审标准</w:t>
            </w:r>
          </w:p>
        </w:tc>
        <w:tc>
          <w:tcPr>
            <w:tcW w:w="1168"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响应情况</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（填写满足或不满足）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1203"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分值构成</w:t>
            </w: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技术部分</w:t>
            </w:r>
            <w:r>
              <w:rPr>
                <w:rFonts w:hint="eastAsia" w:ascii="仿宋" w:hAnsi="仿宋" w:eastAsia="仿宋" w:cs="仿宋"/>
                <w:b/>
                <w:bCs/>
                <w:color w:val="000000"/>
                <w:kern w:val="0"/>
                <w:sz w:val="24"/>
                <w:lang w:val="en-US" w:eastAsia="zh-CN"/>
              </w:rPr>
              <w:t>5</w:t>
            </w:r>
            <w:r>
              <w:rPr>
                <w:rFonts w:hint="eastAsia" w:ascii="仿宋" w:hAnsi="仿宋" w:eastAsia="仿宋" w:cs="仿宋"/>
                <w:b/>
                <w:bCs/>
                <w:color w:val="000000"/>
                <w:kern w:val="0"/>
                <w:sz w:val="24"/>
              </w:rPr>
              <w:t>8分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203"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商务部分12分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03"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867" w:type="dxa"/>
            <w:gridSpan w:val="2"/>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报价得分</w:t>
            </w:r>
            <w:r>
              <w:rPr>
                <w:rFonts w:hint="eastAsia" w:ascii="仿宋" w:hAnsi="仿宋" w:eastAsia="仿宋" w:cs="仿宋"/>
                <w:b/>
                <w:bCs/>
                <w:color w:val="000000"/>
                <w:kern w:val="0"/>
                <w:sz w:val="24"/>
                <w:lang w:val="en-US" w:eastAsia="zh-CN"/>
              </w:rPr>
              <w:t>30</w:t>
            </w:r>
            <w:r>
              <w:rPr>
                <w:rFonts w:hint="eastAsia" w:ascii="仿宋" w:hAnsi="仿宋" w:eastAsia="仿宋" w:cs="仿宋"/>
                <w:b/>
                <w:bCs/>
                <w:color w:val="000000"/>
                <w:kern w:val="0"/>
                <w:sz w:val="24"/>
              </w:rPr>
              <w:t>分</w:t>
            </w:r>
          </w:p>
        </w:tc>
        <w:tc>
          <w:tcPr>
            <w:tcW w:w="1168"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03"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技术部分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（58分）</w:t>
            </w:r>
          </w:p>
        </w:tc>
        <w:tc>
          <w:tcPr>
            <w:tcW w:w="1335"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①每满足一条一般技术参数得2分；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②每满足一条重要条款</w:t>
            </w:r>
            <w:r>
              <w:rPr>
                <w:rStyle w:val="15"/>
                <w:rFonts w:hint="default"/>
                <w:kern w:val="2"/>
                <w:sz w:val="21"/>
                <w:szCs w:val="21"/>
                <w:lang w:val="en-US" w:eastAsia="zh-CN" w:bidi="ar-SA"/>
              </w:rPr>
              <w:t>▲</w:t>
            </w:r>
            <w:r>
              <w:rPr>
                <w:rFonts w:hint="eastAsia" w:ascii="仿宋" w:hAnsi="仿宋" w:eastAsia="仿宋" w:cs="仿宋"/>
                <w:b/>
                <w:bCs/>
                <w:color w:val="000000"/>
                <w:kern w:val="0"/>
                <w:sz w:val="24"/>
                <w:lang w:val="en-US" w:eastAsia="zh-CN"/>
              </w:rPr>
              <w:t>得4分。</w:t>
            </w:r>
          </w:p>
          <w:p>
            <w:pPr>
              <w:pStyle w:val="2"/>
              <w:jc w:val="center"/>
              <w:rPr>
                <w:rFonts w:hint="eastAsia"/>
                <w:lang w:val="en-US" w:eastAsia="zh-CN"/>
              </w:rPr>
            </w:pPr>
            <w:r>
              <w:rPr>
                <w:rFonts w:hint="eastAsia" w:ascii="仿宋" w:hAnsi="仿宋" w:eastAsia="仿宋" w:cs="仿宋"/>
                <w:b/>
                <w:bCs/>
                <w:color w:val="000000"/>
                <w:kern w:val="0"/>
                <w:sz w:val="24"/>
                <w:lang w:val="en-US" w:eastAsia="zh-CN"/>
              </w:rPr>
              <w:t>（46分）</w:t>
            </w:r>
          </w:p>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Style w:val="15"/>
                <w:rFonts w:hint="eastAsia"/>
                <w:sz w:val="21"/>
                <w:szCs w:val="21"/>
                <w:lang w:val="en-US" w:eastAsia="zh-CN"/>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eastAsia="zh-CN"/>
              </w:rPr>
              <w:t>、</w:t>
            </w:r>
            <w:r>
              <w:rPr>
                <w:rFonts w:hint="eastAsia"/>
                <w:color w:val="auto"/>
              </w:rPr>
              <w:t>设备用途：适用于孕产妇待产、分娩</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2、</w:t>
            </w:r>
            <w:r>
              <w:rPr>
                <w:rFonts w:hint="eastAsia"/>
                <w:color w:val="auto"/>
              </w:rPr>
              <w:t>▲电动动力系统：整体升降、背板升降、前后倾斜和脚部升降均为电动操作</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Style w:val="15"/>
                <w:rFonts w:hint="default"/>
                <w:sz w:val="21"/>
                <w:szCs w:val="21"/>
                <w:lang w:val="en-US" w:eastAsia="zh-CN"/>
              </w:rPr>
            </w:pPr>
            <w:r>
              <w:rPr>
                <w:rFonts w:hint="eastAsia" w:ascii="宋体" w:hAnsi="宋体" w:eastAsia="宋体" w:cs="宋体"/>
                <w:i w:val="0"/>
                <w:iCs w:val="0"/>
                <w:color w:val="000000"/>
                <w:sz w:val="22"/>
                <w:szCs w:val="22"/>
                <w:u w:val="none"/>
                <w:lang w:val="en-US" w:eastAsia="zh-CN"/>
              </w:rPr>
              <w:t>3、</w:t>
            </w:r>
            <w:r>
              <w:rPr>
                <w:rFonts w:hint="eastAsia"/>
                <w:color w:val="auto"/>
              </w:rPr>
              <w:t>▲背板调节范围：0-60°</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4、</w:t>
            </w:r>
            <w:r>
              <w:rPr>
                <w:rFonts w:hint="eastAsia"/>
                <w:color w:val="auto"/>
              </w:rPr>
              <w:t>▲腿板调节：上折0-42°外翻0-90°</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5、</w:t>
            </w:r>
            <w:r>
              <w:rPr>
                <w:rFonts w:hint="eastAsia"/>
                <w:color w:val="auto"/>
              </w:rPr>
              <w:t>床面承重：≥170kg</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6、</w:t>
            </w:r>
            <w:r>
              <w:rPr>
                <w:rFonts w:hint="eastAsia"/>
                <w:color w:val="auto"/>
              </w:rPr>
              <w:t>床面长宽：长≥1820mm，宽≥740mm</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7、</w:t>
            </w:r>
            <w:r>
              <w:rPr>
                <w:rFonts w:hint="eastAsia"/>
                <w:color w:val="auto"/>
              </w:rPr>
              <w:t>▲床面高度范围：650mm900mm，±50mm</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8、</w:t>
            </w:r>
            <w:r>
              <w:rPr>
                <w:rFonts w:hint="eastAsia"/>
                <w:color w:val="auto"/>
              </w:rPr>
              <w:t>▲配置蓄电池，即使断电也可完成体位动作60次以上</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9、</w:t>
            </w:r>
            <w:r>
              <w:rPr>
                <w:rFonts w:hint="eastAsia"/>
                <w:color w:val="auto"/>
              </w:rPr>
              <w:t>床面采用防水防污、防霉防菌、耐摩擦的PU材质，内嵌海绵</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10、</w:t>
            </w:r>
            <w:r>
              <w:rPr>
                <w:rFonts w:hint="eastAsia"/>
                <w:color w:val="auto"/>
              </w:rPr>
              <w:t>床体金属表面采用静电喷涂工艺处理，涂层耐腐蚀、耐酸碱、抗UV，具有生物安全性（提供相关检测报告）</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11、</w:t>
            </w:r>
            <w:r>
              <w:rPr>
                <w:rFonts w:hint="eastAsia"/>
                <w:color w:val="auto"/>
              </w:rPr>
              <w:t>护栏：护栏为PP或更优的材质，可承受≥500N拉力，护栏具调节按钮，单向升降</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12、</w:t>
            </w:r>
            <w:r>
              <w:rPr>
                <w:rFonts w:hint="eastAsia"/>
                <w:color w:val="auto"/>
              </w:rPr>
              <w:t>设有中控刹车，脚轮直径≥150mm</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lang w:val="en-US" w:eastAsia="zh-CN"/>
              </w:rPr>
              <w:t>13、</w:t>
            </w:r>
            <w:r>
              <w:rPr>
                <w:rFonts w:hint="eastAsia"/>
                <w:color w:val="auto"/>
              </w:rPr>
              <w:t>.产床具有头低脚高功能即床面后倾，最大后倾幅度≥8°</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rPr>
              <w:t>.</w:t>
            </w:r>
            <w:r>
              <w:rPr>
                <w:rFonts w:hint="eastAsia"/>
                <w:color w:val="auto"/>
              </w:rPr>
              <w:t>产床腿板可电动升降程度≥90mm</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5</w:t>
            </w:r>
            <w:r>
              <w:rPr>
                <w:rFonts w:hint="eastAsia" w:ascii="宋体" w:hAnsi="宋体" w:eastAsia="宋体" w:cs="宋体"/>
                <w:i w:val="0"/>
                <w:iCs w:val="0"/>
                <w:color w:val="000000"/>
                <w:sz w:val="22"/>
                <w:szCs w:val="22"/>
                <w:u w:val="none"/>
              </w:rPr>
              <w:t>.</w:t>
            </w:r>
            <w:r>
              <w:rPr>
                <w:rFonts w:hint="eastAsia"/>
                <w:color w:val="auto"/>
              </w:rPr>
              <w:t>隐藏式辅助台，可从产床转为病床。</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rPr>
            </w:pPr>
            <w:r>
              <w:rPr>
                <w:rFonts w:hint="eastAsia"/>
                <w:lang w:val="en-US" w:eastAsia="zh-CN"/>
              </w:rPr>
              <w:t>16.</w:t>
            </w:r>
            <w:r>
              <w:rPr>
                <w:rFonts w:hint="eastAsia"/>
              </w:rPr>
              <w:t>单张产品配置清单（投标提供详细配置清单）：</w:t>
            </w:r>
          </w:p>
          <w:p>
            <w:pPr>
              <w:keepNext w:val="0"/>
              <w:keepLines w:val="0"/>
              <w:widowControl/>
              <w:numPr>
                <w:ilvl w:val="0"/>
                <w:numId w:val="0"/>
              </w:numPr>
              <w:suppressLineNumbers w:val="0"/>
              <w:jc w:val="left"/>
              <w:textAlignment w:val="top"/>
              <w:rPr>
                <w:rFonts w:hint="eastAsia"/>
                <w:color w:val="auto"/>
              </w:rPr>
            </w:pPr>
            <w:r>
              <w:rPr>
                <w:rFonts w:hint="eastAsia"/>
                <w:color w:val="auto"/>
              </w:rPr>
              <w:t>床主体</w:t>
            </w:r>
            <w:r>
              <w:rPr>
                <w:rFonts w:hint="eastAsia"/>
                <w:color w:val="auto"/>
              </w:rPr>
              <w:tab/>
            </w:r>
            <w:r>
              <w:rPr>
                <w:rFonts w:hint="eastAsia"/>
                <w:color w:val="auto"/>
              </w:rPr>
              <w:t>1台</w:t>
            </w:r>
          </w:p>
          <w:p>
            <w:pPr>
              <w:keepNext w:val="0"/>
              <w:keepLines w:val="0"/>
              <w:widowControl/>
              <w:numPr>
                <w:ilvl w:val="0"/>
                <w:numId w:val="0"/>
              </w:numPr>
              <w:suppressLineNumbers w:val="0"/>
              <w:jc w:val="left"/>
              <w:textAlignment w:val="top"/>
              <w:rPr>
                <w:rFonts w:hint="eastAsia"/>
                <w:color w:val="auto"/>
              </w:rPr>
            </w:pPr>
            <w:r>
              <w:rPr>
                <w:rFonts w:hint="eastAsia"/>
                <w:color w:val="auto"/>
              </w:rPr>
              <w:t>安全护栏</w:t>
            </w:r>
            <w:r>
              <w:rPr>
                <w:rFonts w:hint="eastAsia"/>
                <w:color w:val="auto"/>
              </w:rPr>
              <w:tab/>
            </w:r>
            <w:r>
              <w:rPr>
                <w:rFonts w:hint="eastAsia"/>
                <w:color w:val="auto"/>
              </w:rPr>
              <w:t>1对</w:t>
            </w:r>
          </w:p>
          <w:p>
            <w:pPr>
              <w:keepNext w:val="0"/>
              <w:keepLines w:val="0"/>
              <w:widowControl/>
              <w:numPr>
                <w:ilvl w:val="0"/>
                <w:numId w:val="0"/>
              </w:numPr>
              <w:suppressLineNumbers w:val="0"/>
              <w:jc w:val="left"/>
              <w:textAlignment w:val="top"/>
              <w:rPr>
                <w:rFonts w:hint="eastAsia"/>
                <w:color w:val="auto"/>
              </w:rPr>
            </w:pPr>
            <w:r>
              <w:rPr>
                <w:rFonts w:hint="eastAsia"/>
                <w:color w:val="auto"/>
              </w:rPr>
              <w:t>助力手柄</w:t>
            </w:r>
            <w:r>
              <w:rPr>
                <w:rFonts w:hint="eastAsia"/>
                <w:color w:val="auto"/>
              </w:rPr>
              <w:tab/>
            </w:r>
            <w:r>
              <w:rPr>
                <w:rFonts w:hint="eastAsia"/>
                <w:color w:val="auto"/>
              </w:rPr>
              <w:t>1对</w:t>
            </w:r>
          </w:p>
          <w:p>
            <w:pPr>
              <w:keepNext w:val="0"/>
              <w:keepLines w:val="0"/>
              <w:widowControl/>
              <w:numPr>
                <w:ilvl w:val="0"/>
                <w:numId w:val="0"/>
              </w:numPr>
              <w:suppressLineNumbers w:val="0"/>
              <w:jc w:val="left"/>
              <w:textAlignment w:val="top"/>
              <w:rPr>
                <w:rFonts w:hint="eastAsia"/>
                <w:color w:val="auto"/>
              </w:rPr>
            </w:pPr>
            <w:r>
              <w:rPr>
                <w:rFonts w:hint="eastAsia"/>
                <w:color w:val="auto"/>
              </w:rPr>
              <w:t>床垫</w:t>
            </w:r>
            <w:r>
              <w:rPr>
                <w:rFonts w:hint="eastAsia"/>
                <w:color w:val="auto"/>
              </w:rPr>
              <w:tab/>
            </w:r>
            <w:r>
              <w:rPr>
                <w:rFonts w:hint="eastAsia"/>
                <w:color w:val="auto"/>
              </w:rPr>
              <w:t>1套</w:t>
            </w:r>
          </w:p>
          <w:p>
            <w:pPr>
              <w:keepNext w:val="0"/>
              <w:keepLines w:val="0"/>
              <w:widowControl/>
              <w:numPr>
                <w:ilvl w:val="0"/>
                <w:numId w:val="0"/>
              </w:numPr>
              <w:suppressLineNumbers w:val="0"/>
              <w:jc w:val="left"/>
              <w:textAlignment w:val="top"/>
              <w:rPr>
                <w:rFonts w:hint="eastAsia"/>
                <w:color w:val="auto"/>
              </w:rPr>
            </w:pPr>
            <w:r>
              <w:rPr>
                <w:rFonts w:hint="eastAsia"/>
                <w:color w:val="auto"/>
              </w:rPr>
              <w:t>头枕</w:t>
            </w:r>
            <w:r>
              <w:rPr>
                <w:rFonts w:hint="eastAsia"/>
                <w:color w:val="auto"/>
              </w:rPr>
              <w:tab/>
            </w:r>
            <w:r>
              <w:rPr>
                <w:rFonts w:hint="eastAsia"/>
                <w:color w:val="auto"/>
              </w:rPr>
              <w:t>1个</w:t>
            </w:r>
          </w:p>
          <w:p>
            <w:pPr>
              <w:keepNext w:val="0"/>
              <w:keepLines w:val="0"/>
              <w:widowControl/>
              <w:numPr>
                <w:ilvl w:val="0"/>
                <w:numId w:val="0"/>
              </w:numPr>
              <w:suppressLineNumbers w:val="0"/>
              <w:jc w:val="left"/>
              <w:textAlignment w:val="top"/>
              <w:rPr>
                <w:rFonts w:hint="eastAsia"/>
                <w:color w:val="auto"/>
              </w:rPr>
            </w:pPr>
            <w:r>
              <w:rPr>
                <w:rFonts w:hint="eastAsia"/>
                <w:color w:val="auto"/>
              </w:rPr>
              <w:t>搁腿架</w:t>
            </w:r>
            <w:r>
              <w:rPr>
                <w:rFonts w:hint="eastAsia"/>
                <w:color w:val="auto"/>
              </w:rPr>
              <w:tab/>
            </w:r>
            <w:r>
              <w:rPr>
                <w:rFonts w:hint="eastAsia"/>
                <w:color w:val="auto"/>
              </w:rPr>
              <w:t>1对</w:t>
            </w:r>
          </w:p>
          <w:p>
            <w:pPr>
              <w:keepNext w:val="0"/>
              <w:keepLines w:val="0"/>
              <w:widowControl/>
              <w:numPr>
                <w:ilvl w:val="0"/>
                <w:numId w:val="0"/>
              </w:numPr>
              <w:suppressLineNumbers w:val="0"/>
              <w:jc w:val="left"/>
              <w:textAlignment w:val="top"/>
              <w:rPr>
                <w:rFonts w:hint="eastAsia"/>
                <w:color w:val="auto"/>
              </w:rPr>
            </w:pPr>
            <w:r>
              <w:rPr>
                <w:rFonts w:hint="eastAsia"/>
                <w:color w:val="auto"/>
              </w:rPr>
              <w:t>移动污物桶</w:t>
            </w:r>
            <w:r>
              <w:rPr>
                <w:rFonts w:hint="eastAsia"/>
                <w:color w:val="auto"/>
              </w:rPr>
              <w:tab/>
            </w:r>
            <w:r>
              <w:rPr>
                <w:rFonts w:hint="eastAsia"/>
                <w:color w:val="auto"/>
              </w:rPr>
              <w:t>1个</w:t>
            </w:r>
          </w:p>
          <w:p>
            <w:pPr>
              <w:keepNext w:val="0"/>
              <w:keepLines w:val="0"/>
              <w:widowControl/>
              <w:numPr>
                <w:ilvl w:val="0"/>
                <w:numId w:val="0"/>
              </w:numPr>
              <w:suppressLineNumbers w:val="0"/>
              <w:jc w:val="left"/>
              <w:textAlignment w:val="top"/>
              <w:rPr>
                <w:rFonts w:hint="eastAsia"/>
                <w:color w:val="auto"/>
              </w:rPr>
            </w:pPr>
            <w:r>
              <w:rPr>
                <w:rFonts w:hint="eastAsia"/>
                <w:color w:val="auto"/>
              </w:rPr>
              <w:t>输液架</w:t>
            </w:r>
            <w:r>
              <w:rPr>
                <w:rFonts w:hint="eastAsia"/>
                <w:color w:val="auto"/>
              </w:rPr>
              <w:tab/>
            </w:r>
            <w:r>
              <w:rPr>
                <w:rFonts w:hint="eastAsia"/>
                <w:color w:val="auto"/>
              </w:rPr>
              <w:t>1支</w:t>
            </w:r>
          </w:p>
          <w:p>
            <w:pPr>
              <w:keepNext w:val="0"/>
              <w:keepLines w:val="0"/>
              <w:widowControl/>
              <w:numPr>
                <w:ilvl w:val="0"/>
                <w:numId w:val="0"/>
              </w:numPr>
              <w:suppressLineNumbers w:val="0"/>
              <w:jc w:val="left"/>
              <w:textAlignment w:val="top"/>
              <w:rPr>
                <w:rFonts w:hint="eastAsia"/>
                <w:color w:val="auto"/>
              </w:rPr>
            </w:pPr>
            <w:r>
              <w:rPr>
                <w:rFonts w:hint="eastAsia"/>
                <w:color w:val="auto"/>
              </w:rPr>
              <w:t>控制器</w:t>
            </w:r>
            <w:r>
              <w:rPr>
                <w:rFonts w:hint="eastAsia"/>
                <w:color w:val="auto"/>
              </w:rPr>
              <w:tab/>
            </w:r>
            <w:r>
              <w:rPr>
                <w:rFonts w:hint="eastAsia"/>
                <w:color w:val="auto"/>
              </w:rPr>
              <w:t>1个</w:t>
            </w:r>
          </w:p>
          <w:p>
            <w:pPr>
              <w:keepNext w:val="0"/>
              <w:keepLines w:val="0"/>
              <w:widowControl/>
              <w:numPr>
                <w:ilvl w:val="0"/>
                <w:numId w:val="0"/>
              </w:numPr>
              <w:suppressLineNumbers w:val="0"/>
              <w:jc w:val="left"/>
              <w:textAlignment w:val="top"/>
              <w:rPr>
                <w:rFonts w:hint="eastAsia"/>
                <w:color w:val="auto"/>
              </w:rPr>
            </w:pPr>
            <w:r>
              <w:rPr>
                <w:rFonts w:hint="eastAsia"/>
                <w:color w:val="auto"/>
              </w:rPr>
              <w:t>承合器</w:t>
            </w:r>
            <w:r>
              <w:rPr>
                <w:rFonts w:hint="eastAsia"/>
                <w:color w:val="auto"/>
              </w:rPr>
              <w:tab/>
            </w:r>
            <w:r>
              <w:rPr>
                <w:rFonts w:hint="eastAsia"/>
                <w:color w:val="auto"/>
              </w:rPr>
              <w:t>1对</w:t>
            </w:r>
          </w:p>
          <w:p>
            <w:pPr>
              <w:keepNext w:val="0"/>
              <w:keepLines w:val="0"/>
              <w:widowControl/>
              <w:numPr>
                <w:ilvl w:val="0"/>
                <w:numId w:val="0"/>
              </w:numPr>
              <w:suppressLineNumbers w:val="0"/>
              <w:jc w:val="left"/>
              <w:textAlignment w:val="top"/>
              <w:rPr>
                <w:rFonts w:hint="eastAsia"/>
                <w:color w:val="auto"/>
              </w:rPr>
            </w:pPr>
            <w:r>
              <w:rPr>
                <w:rFonts w:hint="eastAsia"/>
                <w:color w:val="auto"/>
              </w:rPr>
              <w:t>助力脚蹬</w:t>
            </w:r>
            <w:r>
              <w:rPr>
                <w:rFonts w:hint="eastAsia"/>
                <w:color w:val="auto"/>
              </w:rPr>
              <w:tab/>
            </w:r>
            <w:r>
              <w:rPr>
                <w:rFonts w:hint="eastAsia"/>
                <w:color w:val="auto"/>
              </w:rPr>
              <w:t>1对</w:t>
            </w:r>
          </w:p>
          <w:p>
            <w:pPr>
              <w:keepNext w:val="0"/>
              <w:keepLines w:val="0"/>
              <w:widowControl/>
              <w:numPr>
                <w:ilvl w:val="0"/>
                <w:numId w:val="0"/>
              </w:numPr>
              <w:suppressLineNumbers w:val="0"/>
              <w:jc w:val="left"/>
              <w:textAlignment w:val="top"/>
              <w:rPr>
                <w:rFonts w:hint="eastAsia"/>
                <w:color w:val="auto"/>
              </w:rPr>
            </w:pPr>
            <w:r>
              <w:rPr>
                <w:rFonts w:hint="eastAsia"/>
                <w:color w:val="auto"/>
              </w:rPr>
              <w:t>防水垫</w:t>
            </w:r>
            <w:r>
              <w:rPr>
                <w:rFonts w:hint="eastAsia"/>
                <w:color w:val="auto"/>
              </w:rPr>
              <w:tab/>
            </w:r>
            <w:r>
              <w:rPr>
                <w:rFonts w:hint="eastAsia"/>
                <w:color w:val="auto"/>
              </w:rPr>
              <w:t>1张</w:t>
            </w:r>
          </w:p>
          <w:p>
            <w:pPr>
              <w:keepNext w:val="0"/>
              <w:keepLines w:val="0"/>
              <w:widowControl/>
              <w:numPr>
                <w:ilvl w:val="0"/>
                <w:numId w:val="0"/>
              </w:numPr>
              <w:suppressLineNumbers w:val="0"/>
              <w:jc w:val="left"/>
              <w:textAlignment w:val="top"/>
              <w:rPr>
                <w:rFonts w:hint="eastAsia"/>
                <w:color w:val="auto"/>
              </w:rPr>
            </w:pPr>
            <w:r>
              <w:rPr>
                <w:rFonts w:hint="eastAsia"/>
                <w:color w:val="auto"/>
              </w:rPr>
              <w:t>床头板</w:t>
            </w:r>
            <w:r>
              <w:rPr>
                <w:rFonts w:hint="eastAsia"/>
                <w:color w:val="auto"/>
              </w:rPr>
              <w:tab/>
            </w:r>
            <w:r>
              <w:rPr>
                <w:rFonts w:hint="eastAsia"/>
                <w:color w:val="auto"/>
              </w:rPr>
              <w:t>1个</w:t>
            </w:r>
          </w:p>
          <w:p>
            <w:pPr>
              <w:keepNext w:val="0"/>
              <w:keepLines w:val="0"/>
              <w:widowControl/>
              <w:numPr>
                <w:ilvl w:val="0"/>
                <w:numId w:val="0"/>
              </w:numPr>
              <w:suppressLineNumbers w:val="0"/>
              <w:jc w:val="left"/>
              <w:textAlignment w:val="top"/>
              <w:rPr>
                <w:rFonts w:hint="eastAsia"/>
                <w:lang w:val="en-US" w:eastAsia="zh-CN"/>
              </w:rPr>
            </w:pPr>
            <w:r>
              <w:rPr>
                <w:rFonts w:hint="eastAsia"/>
                <w:color w:val="auto"/>
              </w:rPr>
              <w:t>锁定装置</w:t>
            </w:r>
            <w:r>
              <w:rPr>
                <w:rFonts w:hint="eastAsia"/>
                <w:color w:val="auto"/>
              </w:rPr>
              <w:tab/>
            </w:r>
            <w:r>
              <w:rPr>
                <w:rFonts w:hint="eastAsia"/>
                <w:color w:val="auto"/>
              </w:rPr>
              <w:t>1套</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w:t>
            </w:r>
            <w:r>
              <w:rPr>
                <w:rFonts w:hint="eastAsia" w:ascii="宋体" w:hAnsi="宋体" w:eastAsia="宋体" w:cs="宋体"/>
                <w:i w:val="0"/>
                <w:iCs w:val="0"/>
                <w:color w:val="000000"/>
                <w:sz w:val="22"/>
                <w:szCs w:val="22"/>
                <w:u w:val="none"/>
                <w:lang w:val="en-US" w:eastAsia="zh-CN"/>
              </w:rPr>
              <w:t>7</w:t>
            </w:r>
            <w:r>
              <w:rPr>
                <w:rFonts w:hint="eastAsia" w:ascii="宋体" w:hAnsi="宋体" w:eastAsia="宋体" w:cs="宋体"/>
                <w:i w:val="0"/>
                <w:iCs w:val="0"/>
                <w:color w:val="000000"/>
                <w:sz w:val="22"/>
                <w:szCs w:val="22"/>
                <w:u w:val="none"/>
              </w:rPr>
              <w:t>.</w:t>
            </w:r>
            <w:r>
              <w:rPr>
                <w:rFonts w:hint="eastAsia"/>
                <w:color w:val="auto"/>
              </w:rPr>
              <w:t>▲原厂质保：≥5年</w:t>
            </w:r>
            <w:r>
              <w:rPr>
                <w:rFonts w:hint="eastAsia"/>
                <w:color w:val="auto"/>
                <w:lang w:eastAsia="zh-CN"/>
              </w:rPr>
              <w:t>；</w:t>
            </w:r>
            <w:r>
              <w:rPr>
                <w:rFonts w:hint="eastAsia"/>
                <w:color w:val="auto"/>
              </w:rPr>
              <w:t>电池除外，电池≥2年</w:t>
            </w:r>
            <w:r>
              <w:rPr>
                <w:rFonts w:hint="eastAsia"/>
                <w:color w:val="auto"/>
                <w:lang w:eastAsia="zh-CN"/>
              </w:rPr>
              <w:t>。（</w:t>
            </w:r>
            <w:r>
              <w:rPr>
                <w:rFonts w:hint="eastAsia" w:ascii="Arial" w:hAnsi="Arial" w:cs="Arial"/>
                <w:color w:val="auto"/>
                <w:lang w:val="en-US" w:eastAsia="zh-CN"/>
              </w:rPr>
              <w:t>提供厂家盖章说明</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Merge w:val="continue"/>
            <w:vAlign w:val="center"/>
          </w:tcPr>
          <w:p>
            <w:pPr>
              <w:pStyle w:val="2"/>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both"/>
              <w:rPr>
                <w:rStyle w:val="15"/>
                <w:rFonts w:hint="default"/>
                <w:sz w:val="21"/>
                <w:szCs w:val="21"/>
                <w:lang w:val="en-US" w:eastAsia="zh-CN"/>
              </w:rPr>
            </w:pPr>
          </w:p>
        </w:tc>
        <w:tc>
          <w:tcPr>
            <w:tcW w:w="7532" w:type="dxa"/>
            <w:vAlign w:val="center"/>
          </w:tcPr>
          <w:p>
            <w:pPr>
              <w:keepNext w:val="0"/>
              <w:keepLines w:val="0"/>
              <w:widowControl/>
              <w:numPr>
                <w:ilvl w:val="0"/>
                <w:numId w:val="0"/>
              </w:numPr>
              <w:suppressLineNumbers w:val="0"/>
              <w:jc w:val="both"/>
              <w:textAlignment w:val="top"/>
              <w:rPr>
                <w:rFonts w:hint="eastAsia" w:ascii="宋体" w:hAnsi="宋体" w:cs="宋体"/>
                <w:i w:val="0"/>
                <w:iCs w:val="0"/>
                <w:color w:val="000000"/>
                <w:kern w:val="0"/>
                <w:sz w:val="21"/>
                <w:szCs w:val="21"/>
                <w:u w:val="none"/>
                <w:lang w:val="en-US" w:eastAsia="zh-CN" w:bidi="ar"/>
              </w:rPr>
            </w:pPr>
            <w:r>
              <w:rPr>
                <w:rFonts w:hint="eastAsia" w:asciiTheme="minorHAnsi" w:hAnsiTheme="minorHAnsi" w:eastAsiaTheme="minorEastAsia" w:cstheme="minorBidi"/>
                <w:kern w:val="2"/>
                <w:sz w:val="18"/>
                <w:szCs w:val="18"/>
                <w:lang w:val="en-US" w:eastAsia="zh-CN" w:bidi="ar-SA"/>
              </w:rPr>
              <w:t>★</w:t>
            </w:r>
            <w:r>
              <w:rPr>
                <w:rFonts w:hint="eastAsia" w:cstheme="minorBidi"/>
                <w:kern w:val="2"/>
                <w:sz w:val="28"/>
                <w:szCs w:val="28"/>
                <w:lang w:val="en-US" w:eastAsia="zh-CN" w:bidi="ar-SA"/>
              </w:rPr>
              <w:t xml:space="preserve"> </w:t>
            </w:r>
            <w:r>
              <w:rPr>
                <w:rFonts w:hint="eastAsia" w:ascii="宋体" w:hAnsi="宋体" w:eastAsia="宋体" w:cs="宋体"/>
                <w:i w:val="0"/>
                <w:iCs w:val="0"/>
                <w:color w:val="000000"/>
                <w:sz w:val="22"/>
                <w:szCs w:val="22"/>
                <w:u w:val="none"/>
                <w:lang w:val="en-US" w:eastAsia="zh-CN"/>
              </w:rPr>
              <w:t>需有</w:t>
            </w:r>
            <w:r>
              <w:rPr>
                <w:rFonts w:hint="eastAsia" w:ascii="宋体" w:hAnsi="宋体" w:eastAsia="宋体" w:cs="宋体"/>
                <w:i w:val="0"/>
                <w:iCs w:val="0"/>
                <w:color w:val="000000"/>
                <w:sz w:val="22"/>
                <w:szCs w:val="22"/>
                <w:u w:val="none"/>
                <w:lang w:eastAsia="zh-CN"/>
              </w:rPr>
              <w:t>产品注册证</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jc w:val="center"/>
        </w:trPr>
        <w:tc>
          <w:tcPr>
            <w:tcW w:w="1203"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服务方案</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(12分)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szCs w:val="24"/>
                <w:lang w:val="en-US" w:eastAsia="zh-CN" w:bidi="ar-SA"/>
              </w:rPr>
            </w:pPr>
          </w:p>
        </w:tc>
        <w:tc>
          <w:tcPr>
            <w:tcW w:w="7532"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根据投标人提供的服务方案进行综合评分。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1、有服务方案，优于满足项目需求，得12分；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2、有服务方案，完全满足项目需求，得8分；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3、有服务方案，基本满足项目需求，得4分；</w:t>
            </w:r>
          </w:p>
          <w:p>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4、有服务方案，不能完全满足项目需求，得1分；</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5、未提供不得分。</w:t>
            </w:r>
          </w:p>
        </w:tc>
        <w:tc>
          <w:tcPr>
            <w:tcW w:w="116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商务部分(12分)</w:t>
            </w: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同类项目业绩 </w:t>
            </w:r>
          </w:p>
        </w:tc>
        <w:tc>
          <w:tcPr>
            <w:tcW w:w="7532" w:type="dxa"/>
            <w:vAlign w:val="center"/>
          </w:tcPr>
          <w:p>
            <w:pPr>
              <w:keepNext w:val="0"/>
              <w:keepLines w:val="0"/>
              <w:pageBreakBefore w:val="0"/>
              <w:widowControl/>
              <w:kinsoku/>
              <w:wordWrap/>
              <w:overflowPunct/>
              <w:topLinePunct w:val="0"/>
              <w:autoSpaceDE/>
              <w:autoSpaceDN/>
              <w:bidi w:val="0"/>
              <w:adjustRightInd/>
              <w:snapToGrid/>
              <w:spacing w:line="300" w:lineRule="exact"/>
              <w:ind w:firstLine="440" w:firstLineChars="2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2023年1月1日（以合同签订时间为准）至今，供应商承接同类项目业绩，每提供一项同类项目业绩得4分，最高12分。注：需提供同类项目业绩合同复印件加盖公章，不提供不得分。</w:t>
            </w:r>
          </w:p>
        </w:tc>
        <w:tc>
          <w:tcPr>
            <w:tcW w:w="1168"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0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投标报价(30分)</w:t>
            </w:r>
          </w:p>
        </w:tc>
        <w:tc>
          <w:tcPr>
            <w:tcW w:w="133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投标报价得分 </w:t>
            </w:r>
          </w:p>
        </w:tc>
        <w:tc>
          <w:tcPr>
            <w:tcW w:w="7532"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ind w:firstLine="431" w:firstLineChars="196"/>
              <w:jc w:val="lef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投标价格最低的有效投标报价为评标基准价，其价格分为满分。其他投标人的价格分统一按照下列公式计算（保留二位小数）：投标报价得分=( 评标基准价/投标报价)×价格权值）</w:t>
            </w:r>
          </w:p>
        </w:tc>
        <w:tc>
          <w:tcPr>
            <w:tcW w:w="1168"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ind w:firstLine="352" w:firstLineChars="196"/>
              <w:jc w:val="center"/>
              <w:rPr>
                <w:rFonts w:asciiTheme="minorEastAsia" w:hAnsiTheme="minorEastAsia" w:eastAsiaTheme="minorEastAsia" w:cstheme="minorEastAsia"/>
                <w:kern w:val="2"/>
                <w:sz w:val="18"/>
                <w:szCs w:val="18"/>
                <w:lang w:val="en-US" w:eastAsia="zh-CN" w:bidi="ar-SA"/>
              </w:rPr>
            </w:pPr>
          </w:p>
        </w:tc>
      </w:tr>
    </w:tbl>
    <w:p>
      <w:pPr>
        <w:pStyle w:val="2"/>
        <w:keepNext w:val="0"/>
        <w:keepLines w:val="0"/>
        <w:pageBreakBefore w:val="0"/>
        <w:kinsoku/>
        <w:wordWrap/>
        <w:overflowPunct/>
        <w:topLinePunct w:val="0"/>
        <w:autoSpaceDE/>
        <w:autoSpaceDN/>
        <w:bidi w:val="0"/>
        <w:adjustRightInd/>
        <w:snapToGrid/>
        <w:spacing w:line="260" w:lineRule="exact"/>
      </w:pPr>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60QM5AgAAcA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V60QM5AgAAcAQAAA4AAAAAAAAAAQAgAAAAHwEAAGRycy9lMm9Eb2Mu&#10;eG1sUEsFBgAAAAAGAAYAWQEAAMo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D79FA"/>
    <w:rsid w:val="000C4AAF"/>
    <w:rsid w:val="000E4C7F"/>
    <w:rsid w:val="00135A30"/>
    <w:rsid w:val="001535A1"/>
    <w:rsid w:val="00286064"/>
    <w:rsid w:val="00380D07"/>
    <w:rsid w:val="00430A22"/>
    <w:rsid w:val="00430FC8"/>
    <w:rsid w:val="004357CA"/>
    <w:rsid w:val="00441B05"/>
    <w:rsid w:val="004C764B"/>
    <w:rsid w:val="00542758"/>
    <w:rsid w:val="005F7AF5"/>
    <w:rsid w:val="00664206"/>
    <w:rsid w:val="00667A4A"/>
    <w:rsid w:val="00676D31"/>
    <w:rsid w:val="0069480B"/>
    <w:rsid w:val="006C270F"/>
    <w:rsid w:val="00817E13"/>
    <w:rsid w:val="0084231F"/>
    <w:rsid w:val="008C7B04"/>
    <w:rsid w:val="009103B7"/>
    <w:rsid w:val="009C713D"/>
    <w:rsid w:val="00A0663E"/>
    <w:rsid w:val="00A431C8"/>
    <w:rsid w:val="00AB4BE2"/>
    <w:rsid w:val="00B443E3"/>
    <w:rsid w:val="00B62612"/>
    <w:rsid w:val="00BB5554"/>
    <w:rsid w:val="00BE44D1"/>
    <w:rsid w:val="00C06AAA"/>
    <w:rsid w:val="00C82765"/>
    <w:rsid w:val="00CC1FE7"/>
    <w:rsid w:val="00D61D49"/>
    <w:rsid w:val="00DE6864"/>
    <w:rsid w:val="00EE4CCF"/>
    <w:rsid w:val="00F6791B"/>
    <w:rsid w:val="00F82446"/>
    <w:rsid w:val="02622FE9"/>
    <w:rsid w:val="05944CAF"/>
    <w:rsid w:val="05FA00CB"/>
    <w:rsid w:val="07A70343"/>
    <w:rsid w:val="07ED79FA"/>
    <w:rsid w:val="08235D30"/>
    <w:rsid w:val="084A0B55"/>
    <w:rsid w:val="089941CB"/>
    <w:rsid w:val="08B446D3"/>
    <w:rsid w:val="0A75468E"/>
    <w:rsid w:val="0B3E6CCC"/>
    <w:rsid w:val="0B8D47EC"/>
    <w:rsid w:val="0BFE4B64"/>
    <w:rsid w:val="0C903D26"/>
    <w:rsid w:val="0CF83B9A"/>
    <w:rsid w:val="0F656151"/>
    <w:rsid w:val="0FBB10D8"/>
    <w:rsid w:val="0FDD52F8"/>
    <w:rsid w:val="100011A5"/>
    <w:rsid w:val="11D67FA7"/>
    <w:rsid w:val="130302B6"/>
    <w:rsid w:val="13142690"/>
    <w:rsid w:val="139C60C7"/>
    <w:rsid w:val="15A63FF4"/>
    <w:rsid w:val="15C41B8D"/>
    <w:rsid w:val="15CA3669"/>
    <w:rsid w:val="16454D1F"/>
    <w:rsid w:val="1723762B"/>
    <w:rsid w:val="182E180B"/>
    <w:rsid w:val="1A3C0E76"/>
    <w:rsid w:val="1C2E56BC"/>
    <w:rsid w:val="1C7C4F84"/>
    <w:rsid w:val="1C8F7A67"/>
    <w:rsid w:val="1CDE306A"/>
    <w:rsid w:val="1CE23F11"/>
    <w:rsid w:val="1CE55363"/>
    <w:rsid w:val="1E61168D"/>
    <w:rsid w:val="1E7456E8"/>
    <w:rsid w:val="1EB3103B"/>
    <w:rsid w:val="1F94792A"/>
    <w:rsid w:val="20757C3F"/>
    <w:rsid w:val="20D21AF9"/>
    <w:rsid w:val="210F3501"/>
    <w:rsid w:val="22354870"/>
    <w:rsid w:val="22CC1428"/>
    <w:rsid w:val="23016EF6"/>
    <w:rsid w:val="239E0EFF"/>
    <w:rsid w:val="24170DE9"/>
    <w:rsid w:val="25AE4059"/>
    <w:rsid w:val="25ED137C"/>
    <w:rsid w:val="265E4317"/>
    <w:rsid w:val="28374BF6"/>
    <w:rsid w:val="29CA7B63"/>
    <w:rsid w:val="2ABD7AD1"/>
    <w:rsid w:val="2B8C78F9"/>
    <w:rsid w:val="2BB55DFC"/>
    <w:rsid w:val="2BF57A32"/>
    <w:rsid w:val="2D1D0DDD"/>
    <w:rsid w:val="2D1E313C"/>
    <w:rsid w:val="2D237411"/>
    <w:rsid w:val="2D8543D4"/>
    <w:rsid w:val="2D881ADC"/>
    <w:rsid w:val="2E3555D8"/>
    <w:rsid w:val="2F0B4622"/>
    <w:rsid w:val="3008155D"/>
    <w:rsid w:val="318C5DD7"/>
    <w:rsid w:val="31D52105"/>
    <w:rsid w:val="33202F0B"/>
    <w:rsid w:val="3439548F"/>
    <w:rsid w:val="351A132B"/>
    <w:rsid w:val="353255E0"/>
    <w:rsid w:val="35D528C2"/>
    <w:rsid w:val="35F9471D"/>
    <w:rsid w:val="381A5C88"/>
    <w:rsid w:val="3826775A"/>
    <w:rsid w:val="383A36D9"/>
    <w:rsid w:val="39801159"/>
    <w:rsid w:val="3A10060A"/>
    <w:rsid w:val="3B0269E5"/>
    <w:rsid w:val="3B3A79C9"/>
    <w:rsid w:val="3B8745F7"/>
    <w:rsid w:val="3BD573B0"/>
    <w:rsid w:val="3C3C2937"/>
    <w:rsid w:val="3CB050A6"/>
    <w:rsid w:val="3D3E41DA"/>
    <w:rsid w:val="3E5264B8"/>
    <w:rsid w:val="3E692513"/>
    <w:rsid w:val="3EEB1B77"/>
    <w:rsid w:val="3F54018A"/>
    <w:rsid w:val="3FC9682E"/>
    <w:rsid w:val="3FD93C44"/>
    <w:rsid w:val="41CB7F2E"/>
    <w:rsid w:val="41D22618"/>
    <w:rsid w:val="44DE23A6"/>
    <w:rsid w:val="462A07D3"/>
    <w:rsid w:val="474F068C"/>
    <w:rsid w:val="47A535BA"/>
    <w:rsid w:val="47A750F4"/>
    <w:rsid w:val="48B36CC9"/>
    <w:rsid w:val="491D5058"/>
    <w:rsid w:val="49354A98"/>
    <w:rsid w:val="4A302311"/>
    <w:rsid w:val="4AFE2097"/>
    <w:rsid w:val="4B807820"/>
    <w:rsid w:val="4C130B78"/>
    <w:rsid w:val="4C86649C"/>
    <w:rsid w:val="4F4F4C00"/>
    <w:rsid w:val="4FF83142"/>
    <w:rsid w:val="501721D3"/>
    <w:rsid w:val="50F40436"/>
    <w:rsid w:val="51C619D0"/>
    <w:rsid w:val="54C91DFE"/>
    <w:rsid w:val="57467D6C"/>
    <w:rsid w:val="59704F4A"/>
    <w:rsid w:val="5BB3181C"/>
    <w:rsid w:val="5CAA4817"/>
    <w:rsid w:val="5D065B1B"/>
    <w:rsid w:val="5D8367E9"/>
    <w:rsid w:val="5D887857"/>
    <w:rsid w:val="5ED32A42"/>
    <w:rsid w:val="5FB01D4A"/>
    <w:rsid w:val="5FF756B7"/>
    <w:rsid w:val="609D4810"/>
    <w:rsid w:val="61537013"/>
    <w:rsid w:val="624C1854"/>
    <w:rsid w:val="62E75556"/>
    <w:rsid w:val="635331CE"/>
    <w:rsid w:val="636E5628"/>
    <w:rsid w:val="638B3A5F"/>
    <w:rsid w:val="63B87C8A"/>
    <w:rsid w:val="646D4AE3"/>
    <w:rsid w:val="648930EF"/>
    <w:rsid w:val="650B0753"/>
    <w:rsid w:val="67871767"/>
    <w:rsid w:val="68D6111E"/>
    <w:rsid w:val="68E33322"/>
    <w:rsid w:val="6A1674F3"/>
    <w:rsid w:val="6A4E083D"/>
    <w:rsid w:val="6CA61A01"/>
    <w:rsid w:val="6D10524F"/>
    <w:rsid w:val="6D214FF7"/>
    <w:rsid w:val="6D7C2B3B"/>
    <w:rsid w:val="6ECB454F"/>
    <w:rsid w:val="6F0A7292"/>
    <w:rsid w:val="6F2F3829"/>
    <w:rsid w:val="70913830"/>
    <w:rsid w:val="71155FCE"/>
    <w:rsid w:val="72C32F8F"/>
    <w:rsid w:val="73C34753"/>
    <w:rsid w:val="741572C0"/>
    <w:rsid w:val="75024B66"/>
    <w:rsid w:val="75246FEF"/>
    <w:rsid w:val="76566B51"/>
    <w:rsid w:val="768C39F1"/>
    <w:rsid w:val="77A62CC6"/>
    <w:rsid w:val="77DE6618"/>
    <w:rsid w:val="797C3920"/>
    <w:rsid w:val="7B662A2F"/>
    <w:rsid w:val="7BD10B3C"/>
    <w:rsid w:val="7C66633A"/>
    <w:rsid w:val="7DC748C3"/>
    <w:rsid w:val="7E8013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4"/>
    <w:qFormat/>
    <w:uiPriority w:val="0"/>
    <w:pPr>
      <w:keepNext/>
      <w:keepLines/>
      <w:spacing w:line="360" w:lineRule="auto"/>
      <w:outlineLvl w:val="0"/>
    </w:pPr>
    <w:rPr>
      <w:rFonts w:eastAsia="仿宋"/>
      <w:b/>
      <w:kern w:val="44"/>
      <w:sz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annotation text"/>
    <w:basedOn w:val="1"/>
    <w:qFormat/>
    <w:uiPriority w:val="0"/>
    <w:pPr>
      <w:jc w:val="left"/>
    </w:p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font01"/>
    <w:basedOn w:val="10"/>
    <w:qFormat/>
    <w:uiPriority w:val="0"/>
    <w:rPr>
      <w:rFonts w:hint="eastAsia" w:ascii="宋体" w:hAnsi="宋体" w:eastAsia="宋体" w:cs="宋体"/>
      <w:color w:val="000000"/>
      <w:sz w:val="22"/>
      <w:szCs w:val="22"/>
      <w:u w:val="none"/>
    </w:rPr>
  </w:style>
  <w:style w:type="character" w:customStyle="1" w:styleId="12">
    <w:name w:val="页眉 Char"/>
    <w:basedOn w:val="10"/>
    <w:link w:val="7"/>
    <w:qFormat/>
    <w:uiPriority w:val="0"/>
    <w:rPr>
      <w:kern w:val="2"/>
      <w:sz w:val="18"/>
      <w:szCs w:val="18"/>
    </w:rPr>
  </w:style>
  <w:style w:type="paragraph" w:styleId="13">
    <w:name w:val="List Paragraph"/>
    <w:basedOn w:val="1"/>
    <w:unhideWhenUsed/>
    <w:qFormat/>
    <w:uiPriority w:val="99"/>
    <w:pPr>
      <w:ind w:firstLine="420" w:firstLineChars="200"/>
    </w:pPr>
  </w:style>
  <w:style w:type="character" w:customStyle="1" w:styleId="14">
    <w:name w:val="标题 1 Char"/>
    <w:basedOn w:val="10"/>
    <w:link w:val="3"/>
    <w:qFormat/>
    <w:uiPriority w:val="0"/>
    <w:rPr>
      <w:rFonts w:eastAsia="仿宋"/>
      <w:b/>
      <w:kern w:val="44"/>
      <w:sz w:val="36"/>
      <w:szCs w:val="24"/>
    </w:rPr>
  </w:style>
  <w:style w:type="character" w:customStyle="1" w:styleId="15">
    <w:name w:val="font4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912</Words>
  <Characters>5205</Characters>
  <Lines>43</Lines>
  <Paragraphs>12</Paragraphs>
  <TotalTime>0</TotalTime>
  <ScaleCrop>false</ScaleCrop>
  <LinksUpToDate>false</LinksUpToDate>
  <CharactersWithSpaces>6105</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2025-12-19T07:43:00Z</dcterms:created>
  <dc:creator>Administrator</dc:creator>
  <cp:lastModifiedBy>Wangwei</cp:lastModifiedBy>
  <dcterms:modified xsi:type="dcterms:W3CDTF">2026-08-30T09:53:12Z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FC6F2A3EAE8F477091EADDF7DC40BD9A</vt:lpwstr>
  </property>
</Properties>
</file>