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175260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9pt;margin-top:13.8pt;height:608.85pt;width:396.95pt;z-index:251660288;mso-width-relative:page;mso-height-relative:page;" fillcolor="#FFFFFF" filled="t" stroked="t" coordsize="21600,21600" o:gfxdata="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HL+&#10;1tkAAAALAQAADwAAAAAAAAABACAAAAAiAAAAZHJzL2Rvd25yZXYueG1sUEsBAhQAFAAAAAgAh07i&#10;QJgDVbuTAgAAJgUAAA4AAAAAAAAAAQAgAAAAKAEAAGRycy9lMm9Eb2MueG1sUEsFBgAAAAAGAAYA&#10;WQEAAC0GAAAAAA=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76835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9.3pt;margin-top:6.05pt;height:541.25pt;width:331.2pt;z-index:251661312;mso-width-relative:page;mso-height-relative:page;" fillcolor="#FFFFFF" filled="t" stroked="t" coordsize="21600,21600" o:gfxdata="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7xtuM9sAAAALAQAADwAAAAAAAAABACAA&#10;AAAiAAAAZHJzL2Rvd25yZXYueG1sUEsBAhQAFAAAAAgAh07iQJZoAmN8AgAA+gQAAA4AAAAAAAAA&#10;AQAgAAAAKgEAAGRycy9lMm9Eb2MueG1sUEsFBgAAAAAGAAYAWQEAABgGAAAAAA=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十五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eastAsia" w:cs="仿宋"/>
          <w:b/>
          <w:sz w:val="28"/>
          <w:szCs w:val="28"/>
          <w:u w:val="single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遴选</w:t>
      </w:r>
      <w:r>
        <w:rPr>
          <w:rFonts w:hint="eastAsia" w:cs="仿宋"/>
          <w:b/>
          <w:sz w:val="28"/>
          <w:szCs w:val="28"/>
          <w:u w:val="single"/>
        </w:rPr>
        <w:t>惠民楼电梯、供应室</w:t>
      </w:r>
      <w:r>
        <w:rPr>
          <w:rFonts w:hint="default" w:cs="仿宋"/>
          <w:b/>
          <w:sz w:val="28"/>
          <w:szCs w:val="28"/>
          <w:u w:val="single"/>
        </w:rPr>
        <w:t>2</w:t>
      </w:r>
      <w:r>
        <w:rPr>
          <w:rFonts w:hint="eastAsia" w:cs="仿宋"/>
          <w:b/>
          <w:sz w:val="28"/>
          <w:szCs w:val="28"/>
          <w:u w:val="single"/>
        </w:rPr>
        <w:t>号</w:t>
      </w:r>
    </w:p>
    <w:p>
      <w:pPr>
        <w:jc w:val="center"/>
        <w:rPr>
          <w:rFonts w:hint="default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  <w:u w:val="none"/>
          <w:lang w:val="en-US" w:eastAsia="zh-CN"/>
        </w:rPr>
        <w:t xml:space="preserve">         </w:t>
      </w:r>
      <w:r>
        <w:rPr>
          <w:rFonts w:hint="eastAsia" w:cs="仿宋"/>
          <w:b/>
          <w:sz w:val="28"/>
          <w:szCs w:val="28"/>
          <w:u w:val="single"/>
        </w:rPr>
        <w:t>蒸汽发生器电缆改造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>供应商项目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="1438" w:tblpY="183"/>
        <w:tblOverlap w:val="never"/>
        <w:tblW w:w="43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469"/>
        <w:gridCol w:w="647"/>
        <w:gridCol w:w="745"/>
        <w:gridCol w:w="1567"/>
        <w:gridCol w:w="1510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358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27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7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842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预算金额（元）</w:t>
            </w:r>
          </w:p>
        </w:tc>
        <w:tc>
          <w:tcPr>
            <w:tcW w:w="812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报价金额（元）</w:t>
            </w:r>
          </w:p>
        </w:tc>
        <w:tc>
          <w:tcPr>
            <w:tcW w:w="910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358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7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遴选</w:t>
            </w:r>
            <w:r>
              <w:rPr>
                <w:rFonts w:hint="eastAsia" w:ascii="宋体" w:hAnsi="宋体" w:eastAsia="宋体"/>
                <w:color w:val="080707"/>
                <w:w w:val="105"/>
                <w:sz w:val="18"/>
                <w:szCs w:val="18"/>
              </w:rPr>
              <w:t>惠民楼电梯、供应室</w:t>
            </w:r>
            <w:r>
              <w:rPr>
                <w:rFonts w:hint="default"/>
                <w:color w:val="080707"/>
                <w:w w:val="105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/>
                <w:color w:val="080707"/>
                <w:w w:val="105"/>
                <w:sz w:val="18"/>
                <w:szCs w:val="18"/>
              </w:rPr>
              <w:t>号蒸汽发生器电缆改造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供应商项目</w:t>
            </w:r>
          </w:p>
        </w:tc>
        <w:tc>
          <w:tcPr>
            <w:tcW w:w="347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/>
              </w:rPr>
            </w:pPr>
            <w:r>
              <w:rPr>
                <w:rFonts w:hint="default" w:ascii="宋体" w:hAnsi="宋体" w:eastAsia="宋体" w:cs="Times New Roman"/>
                <w:color w:val="080707"/>
                <w:w w:val="105"/>
                <w:kern w:val="2"/>
                <w:sz w:val="18"/>
                <w:szCs w:val="18"/>
                <w:lang w:val="en-US" w:eastAsia="zh-CN" w:bidi="ar-SA"/>
              </w:rPr>
              <w:t>93541.  41</w:t>
            </w:r>
          </w:p>
        </w:tc>
        <w:tc>
          <w:tcPr>
            <w:tcW w:w="81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910" w:type="pct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综合单价详见附件：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object>
                <v:shape id="_x0000_i1025" o:spt="75" type="#_x0000_t75" style="height:66pt;width:72.7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Acrobat.Document.DC" ShapeID="_x0000_i1025" DrawAspect="Icon" ObjectID="_1468075725" r:id="rId5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2、投标供应商在提交报价时，需同时提供与报价内容相符的预算书，且预算书须经投标单位加盖公章方为有效。</w:t>
            </w:r>
          </w:p>
        </w:tc>
      </w:tr>
    </w:tbl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</w:pP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 联系人：</w:t>
      </w:r>
    </w:p>
    <w:p>
      <w:pPr>
        <w:spacing w:line="480" w:lineRule="auto"/>
        <w:ind w:firstLine="6160" w:firstLineChars="22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6160" w:firstLineChars="2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日    期：    年  月  日</w:t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rFonts w:hint="eastAsia" w:eastAsia="仿宋"/>
          <w:b w:val="0"/>
          <w:bCs/>
          <w:sz w:val="28"/>
          <w:szCs w:val="28"/>
          <w:lang w:eastAsia="zh-CN"/>
        </w:rPr>
      </w:pPr>
      <w:r>
        <w:rPr>
          <w:rFonts w:hint="eastAsia"/>
          <w:b w:val="0"/>
          <w:bCs/>
          <w:sz w:val="28"/>
          <w:szCs w:val="28"/>
        </w:rPr>
        <w:t>供应商需</w:t>
      </w:r>
      <w:r>
        <w:rPr>
          <w:rFonts w:hint="eastAsia"/>
          <w:b w:val="0"/>
          <w:bCs/>
          <w:sz w:val="28"/>
          <w:szCs w:val="28"/>
          <w:lang w:val="en-US" w:eastAsia="zh-CN"/>
        </w:rPr>
        <w:t>提供营业执照，需</w:t>
      </w:r>
      <w:r>
        <w:rPr>
          <w:rFonts w:hint="eastAsia"/>
          <w:b w:val="0"/>
          <w:bCs/>
          <w:sz w:val="28"/>
          <w:szCs w:val="28"/>
        </w:rPr>
        <w:t>满足以下平台注册要求：在广东政府采购智慧云平台电子卖场“定点集市”的</w:t>
      </w:r>
      <w:r>
        <w:rPr>
          <w:rFonts w:hint="eastAsia"/>
          <w:b w:val="0"/>
          <w:bCs/>
          <w:sz w:val="28"/>
          <w:szCs w:val="28"/>
          <w:lang w:val="en-US" w:eastAsia="zh-CN"/>
        </w:rPr>
        <w:t>修缮工程</w:t>
      </w:r>
      <w:r>
        <w:rPr>
          <w:rFonts w:hint="eastAsia"/>
          <w:b w:val="0"/>
          <w:bCs/>
          <w:sz w:val="28"/>
          <w:szCs w:val="28"/>
        </w:rPr>
        <w:t>专区完成入驻注册，且须附上含有供应商名称及注册状态的有效截图。具体截图样式请参照下图：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8290" cy="3176905"/>
            <wp:effectExtent l="0" t="0" r="10160" b="4445"/>
            <wp:docPr id="82" name="图片 82" descr="C:\Users\Wangwei\Desktop\招采办\院内采购\2026\公开询比\12、公开询比第十四批\_cgi-bin_mmwebwx-bin_webwxgetmsgimg__&amp;MsgID=3320084849006488524&amp;skey=@crypt_5afc0ef0_ffd746af5e6e7a231c726530a8b84b7a&amp;mmweb_appid=wx_webfilehelper.jpeg_cgi-bin_mmwebwx-bin_webwxgetmsgimg__&amp;MsgID=3320084849006488524&amp;skey=@crypt_5afc0ef0_ffd746af5e6e7a231c726530a8b84b7a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Wangwei\Desktop\招采办\院内采购\2026\公开询比\12、公开询比第十四批\_cgi-bin_mmwebwx-bin_webwxgetmsgimg__&amp;MsgID=3320084849006488524&amp;skey=@crypt_5afc0ef0_ffd746af5e6e7a231c726530a8b84b7a&amp;mmweb_appid=wx_webfilehelper.jpeg_cgi-bin_mmwebwx-bin_webwxgetmsgimg__&amp;MsgID=3320084849006488524&amp;skey=@crypt_5afc0ef0_ffd746af5e6e7a231c726530a8b84b7a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对于本项目，我方郑重承诺满足以下要求：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   </w:t>
      </w:r>
    </w:p>
    <w:tbl>
      <w:tblPr>
        <w:tblStyle w:val="8"/>
        <w:tblW w:w="92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标的提供的时间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合同生效之日起30个日历天内完工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标的提供的地点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1、采用单价合同，待中标方完成采购方指定的建设内容后，双方进行工程竣工验收，以双方确认的工程结算书作为付款依据。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2、扣除结算金额的0.3％作为水电费，实际支付结算书金额的99.7%。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3、采购方收到中标方开具的发票后90天内支付完毕。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验收要求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1、以施工图纸、设计变更和参照《建筑工程施工质量验收统一标准》（GB50300-2013)、《建筑装修装饰工程质量验收标准》（GB50210-2018)等国家制定的施工及验收规范为质量评定验收标准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2、工程质量达到合格标准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1、工程保修期为2年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2、需扣除结算金额的0.3％作为项目的水电费</w:t>
            </w:r>
          </w:p>
        </w:tc>
      </w:tr>
    </w:tbl>
    <w:p>
      <w:pPr>
        <w:spacing w:line="480" w:lineRule="auto"/>
        <w:rPr>
          <w:rFonts w:hint="eastAsia"/>
          <w:lang w:val="en-US" w:eastAsia="zh-CN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tbl>
      <w:tblPr>
        <w:tblStyle w:val="9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83"/>
        <w:gridCol w:w="6160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每满足一条技术参数得8分（32分）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1、中标方按照采购方与中标方议定的范围施工，按项目图纸、清单及现场实际情况，以实际施工工程量为准；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2、参加采购方组织的施工图纸设计及现场交底，于开工前3天提交施工方案、进度计划；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3、严格执行施工规范、安全操作规程、防火安全规定、环境保护规定。严格按照图纸或做法说明进行施工，做好各项质量检查记录；参加竣工验收，编制工程结算；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遵守国家或地方政府及有关部门对施工现场管理的规定，妥善保护好施工现场周围建筑物、设备管线、古树名木不受损坏。处理好由于施工带来的扰民问题及与周围单位（住户）的关系。做好施工现场保卫和垃圾消纳等工作，并承担相应费用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实施方案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(11分)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方案进行综合评分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，实施方案包含但不限于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施工方案、工程质量保障措施、施工进度计划和保障措施、安全生产、文明施工、环境保护措施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、未提供不得分。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本院历史履约评价（4分）</w:t>
            </w:r>
          </w:p>
        </w:tc>
        <w:tc>
          <w:tcPr>
            <w:tcW w:w="6160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资料（需评价单位部门盖章），每提供一份较满意或以上评价的得2分，最高得分4分。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非本院历史履约评价（3分）</w:t>
            </w:r>
          </w:p>
        </w:tc>
        <w:tc>
          <w:tcPr>
            <w:tcW w:w="6160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资料（需评价单位部门盖章），每提供一份较满意或以上评价的得1分，最高得分3分。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28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智慧云平台成交量（8分）</w:t>
            </w:r>
          </w:p>
        </w:tc>
        <w:tc>
          <w:tcPr>
            <w:tcW w:w="616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根据投标人提供的成交量进行评分。</w:t>
            </w:r>
          </w:p>
          <w:p>
            <w:pPr>
              <w:pStyle w:val="2"/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成交量最高商家，得8分；</w:t>
            </w:r>
          </w:p>
          <w:p>
            <w:pPr>
              <w:pStyle w:val="2"/>
              <w:numPr>
                <w:ilvl w:val="0"/>
                <w:numId w:val="2"/>
              </w:numPr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成交量第二商家，得5分；</w:t>
            </w:r>
          </w:p>
          <w:p>
            <w:pPr>
              <w:pStyle w:val="2"/>
              <w:numPr>
                <w:ilvl w:val="0"/>
                <w:numId w:val="2"/>
              </w:numPr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成交量第三商家，得2分；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4、余下成交量商家，得1分。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同类项目业绩及履约评价 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分，最高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分。注：需提供同类项目业绩合同复印件加盖公章，不提供不得分。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8157F"/>
    <w:multiLevelType w:val="singleLevel"/>
    <w:tmpl w:val="A138157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C8C804"/>
    <w:multiLevelType w:val="singleLevel"/>
    <w:tmpl w:val="59C8C80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1711ED2"/>
    <w:rsid w:val="018639CC"/>
    <w:rsid w:val="02622FE9"/>
    <w:rsid w:val="05944CAF"/>
    <w:rsid w:val="05FA00CB"/>
    <w:rsid w:val="07A70343"/>
    <w:rsid w:val="07ED79FA"/>
    <w:rsid w:val="0813157C"/>
    <w:rsid w:val="08235D30"/>
    <w:rsid w:val="084A0B55"/>
    <w:rsid w:val="089941CB"/>
    <w:rsid w:val="09D35E58"/>
    <w:rsid w:val="0A75468E"/>
    <w:rsid w:val="0CF83B9A"/>
    <w:rsid w:val="0EA55AF2"/>
    <w:rsid w:val="0FBB10D8"/>
    <w:rsid w:val="0FDD52F8"/>
    <w:rsid w:val="100011A5"/>
    <w:rsid w:val="12344C6A"/>
    <w:rsid w:val="130302B6"/>
    <w:rsid w:val="13142690"/>
    <w:rsid w:val="139C60C7"/>
    <w:rsid w:val="13F27427"/>
    <w:rsid w:val="15C41B8D"/>
    <w:rsid w:val="15CA3669"/>
    <w:rsid w:val="16F72CB9"/>
    <w:rsid w:val="1723762B"/>
    <w:rsid w:val="182E180B"/>
    <w:rsid w:val="18C35C99"/>
    <w:rsid w:val="19BC5B9C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14F0174"/>
    <w:rsid w:val="22CC1428"/>
    <w:rsid w:val="23016EF6"/>
    <w:rsid w:val="239C79FB"/>
    <w:rsid w:val="239E0EFF"/>
    <w:rsid w:val="23B81AA9"/>
    <w:rsid w:val="23D03718"/>
    <w:rsid w:val="24170DE9"/>
    <w:rsid w:val="25C463DE"/>
    <w:rsid w:val="25D75DBB"/>
    <w:rsid w:val="25ED137C"/>
    <w:rsid w:val="265E4317"/>
    <w:rsid w:val="2684770F"/>
    <w:rsid w:val="280F035E"/>
    <w:rsid w:val="28374BF6"/>
    <w:rsid w:val="29CA7B63"/>
    <w:rsid w:val="2A7469F8"/>
    <w:rsid w:val="2ABD7AD1"/>
    <w:rsid w:val="2B8C78F9"/>
    <w:rsid w:val="2BB55DFC"/>
    <w:rsid w:val="2BF57A32"/>
    <w:rsid w:val="2CF42336"/>
    <w:rsid w:val="2D1D0DDD"/>
    <w:rsid w:val="2D1E313C"/>
    <w:rsid w:val="2D237411"/>
    <w:rsid w:val="2D8543D4"/>
    <w:rsid w:val="2E3555D8"/>
    <w:rsid w:val="2F0B4622"/>
    <w:rsid w:val="3008155D"/>
    <w:rsid w:val="305E0E22"/>
    <w:rsid w:val="318C5DD7"/>
    <w:rsid w:val="32333664"/>
    <w:rsid w:val="32D87DC0"/>
    <w:rsid w:val="33202F0B"/>
    <w:rsid w:val="351A132B"/>
    <w:rsid w:val="35D528C2"/>
    <w:rsid w:val="3826775A"/>
    <w:rsid w:val="383A36D9"/>
    <w:rsid w:val="3A703746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0085580"/>
    <w:rsid w:val="41D22618"/>
    <w:rsid w:val="44370B8E"/>
    <w:rsid w:val="45BF33F9"/>
    <w:rsid w:val="462A07D3"/>
    <w:rsid w:val="474F068C"/>
    <w:rsid w:val="47A535BA"/>
    <w:rsid w:val="47A750F4"/>
    <w:rsid w:val="48B36CC9"/>
    <w:rsid w:val="490E29D6"/>
    <w:rsid w:val="49354A98"/>
    <w:rsid w:val="4A302311"/>
    <w:rsid w:val="4A6E2FE0"/>
    <w:rsid w:val="4AFE2097"/>
    <w:rsid w:val="4C130B78"/>
    <w:rsid w:val="4F4F4C00"/>
    <w:rsid w:val="501721D3"/>
    <w:rsid w:val="51A42869"/>
    <w:rsid w:val="51C619D0"/>
    <w:rsid w:val="54BD2868"/>
    <w:rsid w:val="54C91DFE"/>
    <w:rsid w:val="56E217F6"/>
    <w:rsid w:val="57467D6C"/>
    <w:rsid w:val="59704F4A"/>
    <w:rsid w:val="5B0A704A"/>
    <w:rsid w:val="5BB3181C"/>
    <w:rsid w:val="5CAA4817"/>
    <w:rsid w:val="5D803576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183E1C"/>
    <w:rsid w:val="646D4AE3"/>
    <w:rsid w:val="648930EF"/>
    <w:rsid w:val="650B0753"/>
    <w:rsid w:val="67871767"/>
    <w:rsid w:val="68D6111E"/>
    <w:rsid w:val="68E33322"/>
    <w:rsid w:val="6A1674F3"/>
    <w:rsid w:val="6A435FF0"/>
    <w:rsid w:val="6A4E083D"/>
    <w:rsid w:val="6BAE1C75"/>
    <w:rsid w:val="6CA61A01"/>
    <w:rsid w:val="6D10524F"/>
    <w:rsid w:val="6D1F0ECE"/>
    <w:rsid w:val="6D7C2B3B"/>
    <w:rsid w:val="6E5A2FFC"/>
    <w:rsid w:val="6ECB454F"/>
    <w:rsid w:val="6F0A7292"/>
    <w:rsid w:val="70913830"/>
    <w:rsid w:val="7095068B"/>
    <w:rsid w:val="71155FCE"/>
    <w:rsid w:val="71C42137"/>
    <w:rsid w:val="72207B38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343E65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3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2026-08-11T02:14:56Z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22F7F045D6014A5A9A8296C6EE48EED0</vt:lpwstr>
  </property>
</Properties>
</file>