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六．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★所投资料需一式两份。</w:t>
      </w:r>
    </w:p>
    <w:p>
      <w:pPr>
        <w:jc w:val="center"/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1312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0288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hint="eastAsia"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九</w:t>
      </w:r>
      <w:r>
        <w:rPr>
          <w:rFonts w:hint="eastAsia" w:cs="仿宋"/>
          <w:b/>
          <w:sz w:val="72"/>
          <w:szCs w:val="72"/>
        </w:rPr>
        <w:t>批</w:t>
      </w: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 xml:space="preserve">投标资料 </w:t>
      </w:r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both"/>
        <w:rPr>
          <w:rFonts w:hint="eastAsia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名医工作室项目</w:t>
      </w:r>
    </w:p>
    <w:p>
      <w:pPr>
        <w:ind w:firstLine="2530" w:firstLineChars="900"/>
        <w:jc w:val="both"/>
        <w:rPr>
          <w:rFonts w:hint="eastAsia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pPr w:leftFromText="180" w:rightFromText="180" w:vertAnchor="text" w:horzAnchor="page" w:tblpXSpec="center" w:tblpY="233"/>
        <w:tblOverlap w:val="never"/>
        <w:tblW w:w="9976" w:type="dxa"/>
        <w:tblInd w:w="-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667"/>
        <w:gridCol w:w="800"/>
        <w:gridCol w:w="1050"/>
        <w:gridCol w:w="1700"/>
        <w:gridCol w:w="1627"/>
        <w:gridCol w:w="1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预算总价（元）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报价总价（元）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名医工作室项目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211143.43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    年  月  日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r>
        <w:rPr>
          <w:rFonts w:hint="eastAsia"/>
          <w:b w:val="0"/>
          <w:bCs/>
        </w:rPr>
        <w:t>需提供</w:t>
      </w:r>
      <w:r>
        <w:rPr>
          <w:rStyle w:val="15"/>
          <w:rFonts w:hint="eastAsia"/>
          <w:sz w:val="21"/>
          <w:szCs w:val="21"/>
        </w:rPr>
        <w:t>《营业执照》</w:t>
      </w:r>
    </w:p>
    <w:p>
      <w:pPr>
        <w:pStyle w:val="3"/>
        <w:rPr>
          <w:rFonts w:hint="eastAsia" w:eastAsia="仿宋"/>
          <w:b w:val="0"/>
          <w:bCs/>
          <w:lang w:eastAsia="zh-CN"/>
        </w:rPr>
      </w:pPr>
    </w:p>
    <w:p/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签订合同后30个日历日内完成全部货物的交付、安装及调试工作。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医技楼一楼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本项目预算采购控制价含13%增值税，适用货物采购税率；本项目投标报价应为含税全包价，适用税率按国家现行税收政策执行，不同纳税人类型（一般纳税人、小规模纳税人、中小微企业等）按各自适用税率计取；</w:t>
            </w:r>
          </w:p>
          <w:p>
            <w:pPr>
              <w:jc w:val="left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2.全部货物交付并安装调试完毕，经双方验收合格并签署《验收确认书》后，60日内支付至合同总金额的95%；</w:t>
            </w:r>
          </w:p>
          <w:p>
            <w:pPr>
              <w:jc w:val="left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3.剩余总金额的5%自签署《验收确认书》之日起，一年内一次性无息付清；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4.本合同为固定单价包干合同，按实际完成量进行结算。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按采购文件、中标人的投标文件及双方签订的合同参数要求逐项验收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售后要求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Style w:val="15"/>
                <w:rFonts w:hint="eastAsia"/>
                <w:sz w:val="21"/>
                <w:szCs w:val="21"/>
              </w:rPr>
              <w:t>自验收合格后质保期为壹年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ab/>
      </w: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417"/>
        <w:gridCol w:w="4749"/>
        <w:gridCol w:w="651"/>
        <w:gridCol w:w="75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567" w:type="dxa"/>
            <w:gridSpan w:val="4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041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567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04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67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商务部分12分</w:t>
            </w:r>
          </w:p>
        </w:tc>
        <w:tc>
          <w:tcPr>
            <w:tcW w:w="104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9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67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04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（58分）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每满足一条技术参数得0.8分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（48.8分）</w:t>
            </w: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货物名称</w:t>
            </w: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及特征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一、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书柜-高柜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1.基材：采用优质18mm生态多层板，甲醛释放量小于 5mg/100g；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2.优质实18mm生态多层板，材质坚硬、刚性强、不易腐蚀、抗弯强度适中、断裂强度适中。木材经高温干燥、除虫、防虫、防腐处理，具有很好的尺寸稳定性,含水率低于14%。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3.长2.4米、深0.4米、高2.4米。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5.76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二、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书柜-矮柜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1.基材：采用优质18mm生态多层板，甲醛释放量小于 5mg/100g；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2.优质实18mm生态多层板，材质坚硬、刚性强、不易腐蚀、抗弯强度适中、断裂强度适中。木材经高温干燥、除虫、防虫、防腐处理，具有很好的尺寸稳定性,含水率低于14%。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3.长2.4米、深0.4米、高1.0米。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三、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直条沙发凳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1.泡棉为PU成型发泡高密度海绵,高回弹海绵，软硬适中，回弹性好，不变形。整体切割,沙发坐面海绵密度≥25kg/m³；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2.饰面采用优质西皮，厚度为1mm，裁剪合理，缝接紧凑，游离甲醛含量为27.4mg/kg；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3.实木框架，实木经过防虫、防潮、防腐及多次烘干蒸发处理，整体框架结构合理，牢固,甲醛释放量为0.1mg/L。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4.长2.1米、宽0.5米、高0.7米。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四、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三位沙发凳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1.环保西皮，亲肤舒适透气，耐磨抗污防水、易清洁不粘毛；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2.座板为高密海绵加木板加环保皮扪制加工成型；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3.座板采用加宽加厚不锈钢材质，坐板，扶手脚厚度1.2MM横梁1.5MM坐板一体成型全包边，横梁全封闭式的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4.长1.8米、宽0.68米、高0.835米。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排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五、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单人位沙发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1.优质西皮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2.简介：沙发获得外观设计专利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3.靠背：高弹力绵靠背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4.座垫：高弹力绵座垫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5.靠枕：高弹力绵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6.扶手：高弹力绵固定型扶手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7.框架：五金沙发架+木方夹板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8.脚架：黑色五金沙发脚、中脚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9.长0.84米、宽0.78米、高0.82米。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六、茶几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1.基材：采用优质18mm生态多层板，甲醛释放量小于 5mg/100g；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2.优质实18mm生态多层板，材质坚硬、刚性强、不易腐蚀、抗弯强度适中、断裂强度适中。木材经高温干燥、除虫、防虫、防腐处理，具有很好的尺寸稳定性,含水率低于14%。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3.长0.4米、宽0.5米、高0.6米。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七、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办公台（含副柜）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1.台面：采用月亮树品牌加厚60厘国标E0级净味环保板，四周封边，配套月亮树2厘PUR封边。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2.副柜：采用月亮树品牌16厘国标E0级净味环保板，四周封边，配套月亮树1厘PUR封边，抽面/顶板/门板为2厘PUR封边  板件四周封边（防尘、环保、美观）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3.配件：①塑料过线盒 ②悍高品牌静音液压缓冲铰链（终身质保) ③联盛加厚37加宽静音三节导轨 ④TT品牌专利密码锁 ⑤预留86插座孔位  方便美观 ⑥办公台：长1.6米、宽0.8米、高0.75米；副柜：长1.6米、深0.48米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八、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办公转椅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1.材质金属：冷轧钢，电镀五金脚架；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2.塑胶椅身：PP/ABS材质，一体成型，承重部位壁厚≥5mm，耐冲击；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3.优质网布：高弹尼龙网布（拉伸强度≥150N），透气不闷汗，适合办公场景；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4.环保等级：板材甲醛释放量≤0.124mg/m³（E1级），面料无甲醛、无荧光剂，胶水采用环保水性胶；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5.安全设计：边角倒圆处理（弧度≥2cm），无尖锐凸起；金属件无毛刺，布艺/皮质无异味。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6.长:0.62米、宽:0.54米、高:0.97米；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九、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就诊椅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1.椅背：PP椅背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2.椅座：电镀钢架一体成型PP椅座，可拆装方便运输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3.椅架：电镀实心雪橇架，配双排扣脚垫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4.长:0.41米、宽:0.43米、高:0.76米；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十、</w:t>
            </w: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洽谈椅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1.椅背遵循人体工学原理，稳固承托，久坐不累；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2.甄选耐磨皮革座面，柔顺防水，亲肤耐用，易清洁，回弹性好，舒适享受。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3.实木框架，实木经过防虫、防潮、防腐及多次烘干蒸发处理，整体框架结构合理，牢固,甲醛释放量为0.1mg/L。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4.长:0.5米、宽:0.45米、椅背高0.78,椅坐高0.46米；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default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十一、</w:t>
            </w:r>
            <w:r>
              <w:rPr>
                <w:rStyle w:val="15"/>
                <w:rFonts w:hint="default"/>
                <w:sz w:val="21"/>
                <w:szCs w:val="21"/>
              </w:rPr>
              <w:t>洽谈桌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1.60*60cm加厚抗菌岩板台面，精选优质碳素钢材料，食品级喷漆，耐磨耐脏防锈，结构稳固称重性能好，耐用性佳。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直径：0.6米，台面高0.75米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3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十二、</w:t>
            </w:r>
            <w:r>
              <w:rPr>
                <w:rStyle w:val="15"/>
                <w:rFonts w:hint="default"/>
                <w:sz w:val="21"/>
                <w:szCs w:val="21"/>
              </w:rPr>
              <w:t>前台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1.基材：人造石+采用优质18mm生态多层板，甲醛释放量小于 5mg/100g；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2.优质实18mm生态多层板，材质坚硬、刚性强、不易腐蚀、抗弯强度适中、断裂强度适中。木材经高温干燥、除虫、防虫、防腐处理，具有很好的尺寸稳定性,含水率低于14%。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3.长:4.4米、宽:0.85米、高:1.1米；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米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4.4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十三、屏风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1.精选优质不锈钢材质，加厚加粗，表面高温烤漆，耐磨腐蚀性强，稳定性好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2.长:2.6米、宽:2.35米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平方米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6.11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十四、</w:t>
            </w:r>
            <w:r>
              <w:rPr>
                <w:rStyle w:val="15"/>
                <w:rFonts w:hint="default"/>
                <w:sz w:val="21"/>
                <w:szCs w:val="21"/>
              </w:rPr>
              <w:t>床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1.泡棉为PU成型发泡高密度海绵,高回弹海绵，软硬适中，回弹性好，不变形。整体切割,沙发坐面海绵密度≥25kg/m³；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2.饰面采用优质透气绒布；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3.实木框架，实木经过防虫、防潮、防腐及多次烘干蒸发处理，整体框架结构合理，牢固,甲醛释放量为0.1mg/L。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4.长:1.9米、宽:0.8米、高:0.62米；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十五、</w:t>
            </w:r>
            <w:r>
              <w:rPr>
                <w:rStyle w:val="15"/>
                <w:rFonts w:hint="default"/>
                <w:sz w:val="21"/>
                <w:szCs w:val="21"/>
              </w:rPr>
              <w:t>VIP室墙画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1.铝合金边框，磨砂饰面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2.长:0.6米、宽:0.8米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幅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十六、床帘轨道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1.轨道材质：铝合金。规格≥9mm*23mm ；厚度：≥1.2mm；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2.选用铝合金弹簧扣安装码，表面喷涂颜色与轨道一致；每米轨道至少配2个安装码；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3.明装式轨道，轨道结构稳固、平滑；定位、组配、安装固定及校正。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9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十七、</w:t>
            </w:r>
            <w:r>
              <w:rPr>
                <w:rStyle w:val="15"/>
                <w:rFonts w:hint="default"/>
                <w:sz w:val="21"/>
                <w:szCs w:val="21"/>
              </w:rPr>
              <w:t>医用床帘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1.材质要求：100%聚酯纤维；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2.遮光率≥80%；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3.单位面积质量（g/m2）：230±10 ；符合GB/T4669-2008《纺织品机织物单位长度质量和单位面积质量的测定》；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4.质量要求：符合（GB/T18401-2010)《国家纺织产品基本安全技术规范》标准，要求达“C类”或以上标准；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5.抗菌要求：符合GB/T20944.3-2008《纺织品抗菌性能的评价》样品具有良好的抗菌效果要求。要求金黄色葡萄球菌≥99%、大肠杆菌≥99%、肺炎克雷白氏菌≥99%、白色念珠菌≥99%（提供完整的国家认可的检测机构出具的具备CMA或CNAS标志的检测报告(复印件加盖公章) ）；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6.阻燃要求：防火等级:达GB/T17591-2025 B1级阻燃或以上标准（提供完整的国家认可的检测机构出具的具备CMA或CNAS标志的检测报告(复印件加盖公章) ）；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7.防霉性能：符合 GB/T24346-2009《纺织品防霉性能的评价》标准。要求防霉等级：0级；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8.工艺要求：采用1：1.5倍固定折位工艺，每幅床帘配一条绑带并车缝在帘身侧边（高度：2.8米）；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9.配件要求：含布带、挂钩、扎带；其中挂钩选用POM材质白色挂钩，表面光滑、齿形滑道整齐顺畅；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10.布料表面平整度高、垂感效果、抗拉伸性及抗破裂能力好；布料紧密厚实，手感细腻柔软，纹路清晰、车缝线条工整；褶皱设计合理，在整体关闭时美观；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11.定位、调校、安装。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十八、</w:t>
            </w:r>
            <w:r>
              <w:rPr>
                <w:rStyle w:val="15"/>
                <w:rFonts w:hint="default"/>
                <w:sz w:val="21"/>
                <w:szCs w:val="21"/>
              </w:rPr>
              <w:t>移动洗手盘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1.304不锈钢材质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2.尺寸：500X420X880mm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3.感应免接水管（插电款）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组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十九、</w:t>
            </w:r>
            <w:r>
              <w:rPr>
                <w:rStyle w:val="15"/>
                <w:rFonts w:hint="default"/>
                <w:sz w:val="21"/>
                <w:szCs w:val="21"/>
              </w:rPr>
              <w:t>PVC-U难燃电线槽14*24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1.难燃线槽安装 线槽断面周长(mm以内) 120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二十、</w:t>
            </w:r>
            <w:r>
              <w:rPr>
                <w:rStyle w:val="15"/>
                <w:rFonts w:hint="default"/>
                <w:sz w:val="21"/>
                <w:szCs w:val="21"/>
              </w:rPr>
              <w:t>PVC-U难燃电线管DN20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1.刚性难燃线管砖、混凝土结构明配 公称直径(mm以内) 20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二十一、</w:t>
            </w:r>
            <w:r>
              <w:rPr>
                <w:rStyle w:val="15"/>
                <w:rFonts w:hint="default"/>
                <w:sz w:val="21"/>
                <w:szCs w:val="21"/>
              </w:rPr>
              <w:t>铜芯塑料绝缘电线BV6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1.硬绝缘导线管内穿线 导线截面(mm2以内) 6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二十二、</w:t>
            </w:r>
            <w:r>
              <w:rPr>
                <w:rStyle w:val="15"/>
                <w:rFonts w:hint="default"/>
                <w:sz w:val="21"/>
                <w:szCs w:val="21"/>
              </w:rPr>
              <w:t>铜芯塑料绝缘电线BV4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1.硬绝缘导线管内穿线 导线截面(mm2以内) 6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二十三、</w:t>
            </w:r>
            <w:r>
              <w:rPr>
                <w:rStyle w:val="15"/>
                <w:rFonts w:hint="default"/>
                <w:sz w:val="21"/>
                <w:szCs w:val="21"/>
              </w:rPr>
              <w:t>铜芯塑料绝缘电线BV2.5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1.硬绝缘导线管内穿线 导线截面(mm2以内) 2.5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二十四、</w:t>
            </w:r>
            <w:r>
              <w:rPr>
                <w:rStyle w:val="15"/>
                <w:rFonts w:hint="default"/>
                <w:sz w:val="21"/>
                <w:szCs w:val="21"/>
              </w:rPr>
              <w:t>铜芯塑料绝缘电线BV1.5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1.硬绝缘导线管内穿线 导线截面(mm2以内) 2.5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二十五、</w:t>
            </w:r>
            <w:r>
              <w:rPr>
                <w:rStyle w:val="15"/>
                <w:rFonts w:hint="default"/>
                <w:sz w:val="21"/>
                <w:szCs w:val="21"/>
              </w:rPr>
              <w:t>软灯带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1.品种:灯带|光源:LED灯|功率(W):12</w:t>
            </w:r>
          </w:p>
        </w:tc>
        <w:tc>
          <w:tcPr>
            <w:tcW w:w="6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/>
                <w:sz w:val="21"/>
                <w:szCs w:val="21"/>
              </w:rPr>
            </w:pPr>
            <w:r>
              <w:rPr>
                <w:rStyle w:val="15"/>
                <w:rFonts w:hint="default"/>
                <w:sz w:val="21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15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二十六、装饰灯滑轨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1.点光源艺术装饰灯具安装 滑轨 示意图号:182、183、184、185、186、187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2.加厚铝轨道条(三线)、轨道灯具、通用电压、精工铝材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二十七、</w:t>
            </w: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>导轨射灯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>1.点光源艺术装饰灯具安装 射灯 滑轨式 示意图号:182、183、184、185、186、187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>2.18w高显COB道轨射灯 白色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二十八、</w:t>
            </w: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>三位单控指压开关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>1.照明开关安装 扳式暗开关(单控) 三联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二十九、二、三极插座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1.单相明插座安装 单相(A以下) 16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三十、一位单控指压开关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1.照明开关安装 扳式暗开关(单控) 单联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三十一、p1.8全彩LED屏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1.含外框长（cm）298含外框高（cm）154   净尺寸(L)288cm  净尺寸(H)144cm  1.LED 封装方式 SMD1515 表贴三合一；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2.水平视角 H≥160° 垂直视角 V≥140°；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3.像素组成 1R1G1B；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4.点间距 1.86mm；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5.扫描方式 1/43 扫描；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6.驱动方式 恒流驱动；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7.模组分辨率 172×86 点；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8.模组尺寸 320mm×160mm×17mm；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9.模组重量 518g；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10.模组类型灯驱合一；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11.模组工作电压 4.2V-5V；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12.模组平均功率 16W；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13.模组最大功率 32W；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14.白平衡亮度 ≥500cd/m2；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15.色温 3000-18000K；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16.平均功率 317W/m2；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17.最大功率 633W/m2；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18.亮度均匀性 ≥97%；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19.色度均匀性 ±0.003Cx，Cy 之内；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20.像素密度（点/平方米） 640000；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21.对地漏电流 ≤3.5mA/m2；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22.换帧频率 60Hz；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23.刷新频率 ≥3840Hz。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4.54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三十二、视频处理器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1.单机具有2个网口，整机最大带载130万像素，宽度可达到4096点，高度可达到2048点。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2.支持多种数字信号接口，包括2路HDMI1.3、1路DVI-D和1路USB。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3.支持任意串线，网口带载不受矩形限制，提高网口利用率。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4.支持USB播放，完美支持多种视频、图片格式。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5.EDID配置管理：支持EDID(Extended Display Identification Data,扩展显示识别数据)的读取、修改、自定义。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6.支持画面一键静止功能。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7.支持输出纯色，渐变，扫描线等多种测试画面。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8.去黑边/剪裁功能：解决前端信号产生的黑边问题，针对任意信号源做任意裁剪(依旧保持满屏状态)。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9.支持按键锁定，防止误操作。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10.可实时、快捷地对整体输出画面显示亮度、对比度进行调整。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三十三、异步盒子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1.局域网连接：可通过路由器接入网络供手机、电脑连接，支持无线配置屏幕；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2.网线直连：可通过网线与电脑直连直接建立通讯；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3.常驻wifi热点：移动设备连接盒子发出的wifi热点进行无线通讯；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4.U盘传输：支持U盘发布节目、U盘调屏、设置大屏亮度等。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三十四、音柱扬声器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1.全天候设计（防水、耐热、抗硫），可在多种特殊环境下长期使用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2.高灵敏度、高声压级设计，宽广的频响覆盖范围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3.声音清晰纯净，轻松应对各种背景音乐和语音扩声需求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4.简约大方的外观设计，能与各种场合融合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喇叭口径 低音3.5”*4,高音2”*1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额定功率 20W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最大功率 40W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额定输入 70V/100V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灵 敏 度 90dB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频响范围 140Hz-15Hz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最大声压级 101dB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外形尺寸 106*106*730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三十五、USB功放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产品特点：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一路MIC、两路AUX输入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USB播放，MP3、WMA双解码。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温度保护、过压及过载保护。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MIC1输入自动默音。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小型化带多媒体音源一体机。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麦克风放大，即插即用。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型 号 ：AT-80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额定输出功率 ：80W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耗 电 量：110W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解码格式 ：MP2, MP3 WMA APE FLAC AAC MP4 M4A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WAV (IMA-ADPCM &amp; PCM), AIF, AIFC兼容2000Kbps以下数据文件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收音格式：FM(87~108MHz)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最小源电动势 ：MIC1 10mV(非平衡)，AUX1/AUX2 500mV(非平衡)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频率响应 ：+/-3dB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总谐波失真 ：小于1%(1KHz, 额定功率)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信 噪 比 ：线路 大于80dB，话筒 大于70dB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音调调节 ：低音：±6dB(100Hz) ，高音：±6dB(10KHz)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保护功能 ：超温，过流，过载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默音功能 ：话筒MIC1优先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 xml:space="preserve">额定电源：100-240V~ 50/60Hz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机身尺寸 ：252x71x200mm (宽x高x深)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净 重 ：2.65kg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三十六、喇叭线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1.3.5公转双莲花音频线，精炼铜，镀金工艺、0D3.5*7.6mm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三十七、10-12位明装箱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1.插接式空气开关箱安装 额定电流(A以内) 40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三十八、家用漏电保护开关 32A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1.DZ自动空气断路器安装 额定电流(A以内) 32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三十九、门口发光字底层装饰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1.型钢龙骨 单向1500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2.5厘铝塑板饰面层 安装在轻钢龙骨上 拼密缝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10.4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四十、房内隔断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1.轻钢龙骨石膏板隔墙(包龙骨) 双面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2.饰面层 竹木纤维板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四十一、竹木纤维踢脚线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1.踢脚线 复合(塑料)板 10公分高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四十二、VIP室房内门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1.基材：采用优质18mm生态多层板，甲醛释放量小于 5mg/100g；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2.优质实18mm生态多层板，材质坚硬、刚性强、不易腐蚀、抗弯强度适中、断裂强度适中。木材经高温干燥、除虫、防虫、防腐处理，具有很好的尺寸稳定性,含水率低于14%。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2.15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四十三、门锁安装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1.特殊五金安装 门锁安装 单向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四十四、房门塑色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1.其他木材面 刮腻子、底漆二遍、聚酯色漆二遍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2.其他木材面 油漆面抛光打蜡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25.83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四十五、室内形象墙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1.木龙骨 断面7.5cm2 木龙骨平均中距(mm以内) 400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2.阻燃胶合板基层 9mm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3.饰面层 高品质硅酸钙板 9mm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4.成品腻子粉(一般型)Y型 墙面 满刮一遍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5.乳胶漆底油二遍面油二遍 抹灰面 墙柱面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3.74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四十六、门口形象墙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1.木龙骨 断面7.5cm2 木龙骨平均中距(mm以内) 400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2.阻燃胶合板基层 9mm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3.饰面层 高品质硅酸钙板 9mm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4.成品腻子粉(一般型)Y型 墙面 满刮一遍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5.乳胶漆底油二遍面油二遍 抹灰面 墙柱面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9.34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四十七、门口名医工作室+LOGO发光字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1.迷你发光字高密度PP板+电源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2.05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四十八、形象墙背景板1(只做字，不做底板）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1.8+3MM亚克力字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6.17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四十九、</w:t>
            </w:r>
            <w:r>
              <w:rPr>
                <w:rFonts w:hint="eastAsia"/>
              </w:rPr>
              <w:t>亚克力三角牌480*180mm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1.泡沫塑料、有机玻璃美术字安装 0.5m2以内 其他面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五十、走廊波浪标识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1.走廊波浪标识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2.5MM厚PVC加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1.73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五十一、咨询台水晶字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1.咨询台水晶字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2.8+3MM水晶字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3.07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五十二、工作室简介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1.工作室简介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2.8MM厚亚克力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2.11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五十三、出诊专家亮相墙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1.出诊专家亮相墙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2.8MM厚亚克力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3.07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五十四、亚克力盒子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1.亚克力盒子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2.8MM厚亚克力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五十五、精诚为医以顶尖实力护佑生命健康LOGO牌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1.精诚为医以顶尖实力护佑生命健康LOGO牌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2.8MM厚亚克力UV字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3.13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五十六、候诊背景墙文化造型1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1.候诊背景墙文化造型1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2.8MM厚亚克力UV字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5.5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五十七、候诊背景墙文化造型2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1.候诊背景墙文化造型2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2.8MM厚亚克力UV字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4.62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五十八、形象墙背景板*3套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1.形象墙背景板*3套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2.8MM厚亚克力UV字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4.67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五十九、前台背景字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1.前台背景字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2.8+3MM亚克力字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4.67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六十、前台背景装饰条*2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1.前台背景装饰条*2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2.8+3MM亚克力字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0.26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bookmarkStart w:id="1" w:name="_GoBack" w:colFirst="3" w:colLast="4"/>
          </w:p>
        </w:tc>
        <w:tc>
          <w:tcPr>
            <w:tcW w:w="141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六十一、科室制度牌 600*800mm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1.科室制度牌 600*800mm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89" w:hRule="atLeast"/>
          <w:jc w:val="center"/>
        </w:trPr>
        <w:tc>
          <w:tcPr>
            <w:tcW w:w="119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售后服务方案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(9.2分)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售后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9.2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7.2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5.2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、未提供不得分。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66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商务部分(12分)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同类项目业绩 </w:t>
            </w: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54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投标报价(30分)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投标报价得分 </w:t>
            </w:r>
          </w:p>
        </w:tc>
        <w:tc>
          <w:tcPr>
            <w:tcW w:w="4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380D07"/>
    <w:rsid w:val="00430A22"/>
    <w:rsid w:val="00430FC8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2622FE9"/>
    <w:rsid w:val="05944CAF"/>
    <w:rsid w:val="05FA00CB"/>
    <w:rsid w:val="07A70343"/>
    <w:rsid w:val="07ED79FA"/>
    <w:rsid w:val="08235D30"/>
    <w:rsid w:val="084A0B55"/>
    <w:rsid w:val="089941CB"/>
    <w:rsid w:val="0A75468E"/>
    <w:rsid w:val="0CF83B9A"/>
    <w:rsid w:val="0FBB10D8"/>
    <w:rsid w:val="0FDD52F8"/>
    <w:rsid w:val="100011A5"/>
    <w:rsid w:val="130302B6"/>
    <w:rsid w:val="13142690"/>
    <w:rsid w:val="139C60C7"/>
    <w:rsid w:val="15C41B8D"/>
    <w:rsid w:val="15CA3669"/>
    <w:rsid w:val="1723762B"/>
    <w:rsid w:val="182E180B"/>
    <w:rsid w:val="1A3C0E76"/>
    <w:rsid w:val="1C2E56BC"/>
    <w:rsid w:val="1C7C4F84"/>
    <w:rsid w:val="1C8F7A67"/>
    <w:rsid w:val="1CDE306A"/>
    <w:rsid w:val="1CE55363"/>
    <w:rsid w:val="1E61168D"/>
    <w:rsid w:val="1E7456E8"/>
    <w:rsid w:val="1EB3103B"/>
    <w:rsid w:val="1F94792A"/>
    <w:rsid w:val="20757C3F"/>
    <w:rsid w:val="20D21AF9"/>
    <w:rsid w:val="22CC1428"/>
    <w:rsid w:val="23016EF6"/>
    <w:rsid w:val="239E0EFF"/>
    <w:rsid w:val="24170DE9"/>
    <w:rsid w:val="25ED137C"/>
    <w:rsid w:val="265E4317"/>
    <w:rsid w:val="28374BF6"/>
    <w:rsid w:val="29CA7B63"/>
    <w:rsid w:val="2ABD7AD1"/>
    <w:rsid w:val="2B8C78F9"/>
    <w:rsid w:val="2BB55DFC"/>
    <w:rsid w:val="2BF57A32"/>
    <w:rsid w:val="2D1D0DDD"/>
    <w:rsid w:val="2D1E313C"/>
    <w:rsid w:val="2D237411"/>
    <w:rsid w:val="2D8543D4"/>
    <w:rsid w:val="2E3555D8"/>
    <w:rsid w:val="2F0B4622"/>
    <w:rsid w:val="3008155D"/>
    <w:rsid w:val="318C5DD7"/>
    <w:rsid w:val="33202F0B"/>
    <w:rsid w:val="351A132B"/>
    <w:rsid w:val="35D528C2"/>
    <w:rsid w:val="3826775A"/>
    <w:rsid w:val="383A36D9"/>
    <w:rsid w:val="3B0269E5"/>
    <w:rsid w:val="3B3A79C9"/>
    <w:rsid w:val="3B8745F7"/>
    <w:rsid w:val="3BD573B0"/>
    <w:rsid w:val="3CB050A6"/>
    <w:rsid w:val="3D3E41DA"/>
    <w:rsid w:val="3E5264B8"/>
    <w:rsid w:val="3E692513"/>
    <w:rsid w:val="3EEB1B77"/>
    <w:rsid w:val="3F54018A"/>
    <w:rsid w:val="3FC9682E"/>
    <w:rsid w:val="3FD93C44"/>
    <w:rsid w:val="41D22618"/>
    <w:rsid w:val="462A07D3"/>
    <w:rsid w:val="474F068C"/>
    <w:rsid w:val="47A535BA"/>
    <w:rsid w:val="47A750F4"/>
    <w:rsid w:val="48B36CC9"/>
    <w:rsid w:val="49354A98"/>
    <w:rsid w:val="4A302311"/>
    <w:rsid w:val="4AFE2097"/>
    <w:rsid w:val="4C130B78"/>
    <w:rsid w:val="4F4F4C00"/>
    <w:rsid w:val="501721D3"/>
    <w:rsid w:val="51C619D0"/>
    <w:rsid w:val="54C91DFE"/>
    <w:rsid w:val="57467D6C"/>
    <w:rsid w:val="59704F4A"/>
    <w:rsid w:val="5BB3181C"/>
    <w:rsid w:val="5CAA4817"/>
    <w:rsid w:val="5D8367E9"/>
    <w:rsid w:val="5D887857"/>
    <w:rsid w:val="5FB01D4A"/>
    <w:rsid w:val="5FF756B7"/>
    <w:rsid w:val="609D4810"/>
    <w:rsid w:val="61537013"/>
    <w:rsid w:val="624C1854"/>
    <w:rsid w:val="62E75556"/>
    <w:rsid w:val="635331CE"/>
    <w:rsid w:val="636E5628"/>
    <w:rsid w:val="638B3A5F"/>
    <w:rsid w:val="63B87C8A"/>
    <w:rsid w:val="646D4AE3"/>
    <w:rsid w:val="648930EF"/>
    <w:rsid w:val="650B0753"/>
    <w:rsid w:val="67871767"/>
    <w:rsid w:val="68D6111E"/>
    <w:rsid w:val="68E33322"/>
    <w:rsid w:val="6A1674F3"/>
    <w:rsid w:val="6A4E083D"/>
    <w:rsid w:val="6CA61A01"/>
    <w:rsid w:val="6D10524F"/>
    <w:rsid w:val="6D7C2B3B"/>
    <w:rsid w:val="6ECB454F"/>
    <w:rsid w:val="6F0A7292"/>
    <w:rsid w:val="70913830"/>
    <w:rsid w:val="71155FCE"/>
    <w:rsid w:val="72C32F8F"/>
    <w:rsid w:val="73C34753"/>
    <w:rsid w:val="741572C0"/>
    <w:rsid w:val="75024B66"/>
    <w:rsid w:val="76566B51"/>
    <w:rsid w:val="768C39F1"/>
    <w:rsid w:val="77A62CC6"/>
    <w:rsid w:val="77DE6618"/>
    <w:rsid w:val="797C3920"/>
    <w:rsid w:val="7BD10B3C"/>
    <w:rsid w:val="7DC748C3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13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2026-07-10T09:08:40Z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C77387CCA3C549EB9C4B364441348EC7</vt:lpwstr>
  </property>
</Properties>
</file>