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年XXX第X批序号X投标资料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四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>医技楼搬迁劳务费用项目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ind w:firstLine="1968" w:firstLineChars="7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06"/>
        <w:gridCol w:w="730"/>
        <w:gridCol w:w="758"/>
        <w:gridCol w:w="1449"/>
        <w:gridCol w:w="1150"/>
        <w:gridCol w:w="138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0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12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8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30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580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下浮率</w:t>
            </w:r>
          </w:p>
        </w:tc>
        <w:tc>
          <w:tcPr>
            <w:tcW w:w="697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82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30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医技楼搬迁劳务费用项目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批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3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60000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69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</w:rPr>
              <w:t>300.00元/人/日，预估一个科室需要10人，共20个科室，总预算不超过陆万元（¥60000.00）</w:t>
            </w: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根据采购方实际要求分批完成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待中标方完成采购方指定的搬迁内容后，由采购方确认合格，双方办理书面验收确认手续，确认服务完成后30天内支付劳务费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每搬迁完一个科室，由搬迁科室对实际搬迁的人工数量进行确认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投标报价指投标人为完成本项目所收取的全部费用等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50"/>
        <w:gridCol w:w="629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（78分）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13分（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65分）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1、中标方按照各搬迁科室的搬迁时间，提前对搬迁科室的的物资情况进行评估并安排人员；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 xml:space="preserve">2、中标方需配备搬运用的相关工具（如板车、拖车等）； 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3、中标方在搬迁过程中对自己的人身财产安全负全部责任；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4、需搬迁20个科室，包括科室的病床、桌椅、柜、文件资料、医疗设备、办公家具、家私等科室要求搬运的全部物品；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5、根据各搬迁科室的具体要求在规定时间内完成整体搬迁工作，保证科室业务能够正常开展。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培训服务方案(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13分)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满足项目需求，得1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4、未提供不得分。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723762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39E0EFF"/>
    <w:rsid w:val="24170DE9"/>
    <w:rsid w:val="25ED137C"/>
    <w:rsid w:val="2ABD7AD1"/>
    <w:rsid w:val="2B8C78F9"/>
    <w:rsid w:val="2BB55DFC"/>
    <w:rsid w:val="2BF57A32"/>
    <w:rsid w:val="2D1D0DDD"/>
    <w:rsid w:val="2D237411"/>
    <w:rsid w:val="2D8543D4"/>
    <w:rsid w:val="2E3555D8"/>
    <w:rsid w:val="2F0B4622"/>
    <w:rsid w:val="3008155D"/>
    <w:rsid w:val="318C5DD7"/>
    <w:rsid w:val="33202F0B"/>
    <w:rsid w:val="35D528C2"/>
    <w:rsid w:val="383A36D9"/>
    <w:rsid w:val="3B3A79C9"/>
    <w:rsid w:val="3B8745F7"/>
    <w:rsid w:val="3BD573B0"/>
    <w:rsid w:val="3CB050A6"/>
    <w:rsid w:val="3D3E41DA"/>
    <w:rsid w:val="3E5264B8"/>
    <w:rsid w:val="3EEB1B77"/>
    <w:rsid w:val="3FD93C44"/>
    <w:rsid w:val="462A07D3"/>
    <w:rsid w:val="474F068C"/>
    <w:rsid w:val="47A535BA"/>
    <w:rsid w:val="47A750F4"/>
    <w:rsid w:val="48B36CC9"/>
    <w:rsid w:val="4A302311"/>
    <w:rsid w:val="4AFE2097"/>
    <w:rsid w:val="4C130B78"/>
    <w:rsid w:val="4F4F4C00"/>
    <w:rsid w:val="51C619D0"/>
    <w:rsid w:val="54C91DFE"/>
    <w:rsid w:val="57467D6C"/>
    <w:rsid w:val="5CAA4817"/>
    <w:rsid w:val="5D887857"/>
    <w:rsid w:val="5FB01D4A"/>
    <w:rsid w:val="5FF756B7"/>
    <w:rsid w:val="609D4810"/>
    <w:rsid w:val="624C1854"/>
    <w:rsid w:val="62E75556"/>
    <w:rsid w:val="638B3A5F"/>
    <w:rsid w:val="63B87C8A"/>
    <w:rsid w:val="650B0753"/>
    <w:rsid w:val="68D6111E"/>
    <w:rsid w:val="68E33322"/>
    <w:rsid w:val="6CA61A01"/>
    <w:rsid w:val="6F0A7292"/>
    <w:rsid w:val="71155FCE"/>
    <w:rsid w:val="72C32F8F"/>
    <w:rsid w:val="73C34753"/>
    <w:rsid w:val="741572C0"/>
    <w:rsid w:val="75024B66"/>
    <w:rsid w:val="768C39F1"/>
    <w:rsid w:val="77A62CC6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2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2026-05-07T07:48:19Z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